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D0733D" w14:paraId="30E5FBA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1173566" w14:textId="77777777" w:rsidR="00D8148A" w:rsidRPr="00D0733D" w:rsidRDefault="00D8148A" w:rsidP="00921D9B">
            <w:pPr>
              <w:spacing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400E418E" w14:textId="10C24E38" w:rsidR="00CE7D86" w:rsidRDefault="004F22CE" w:rsidP="00921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r w:rsidR="00D8148A" w:rsidRPr="00D07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ozporządzenie Ministra </w:t>
            </w:r>
            <w:r w:rsidR="00B17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Zdrowia </w:t>
            </w:r>
            <w:r w:rsidR="00D8148A" w:rsidRPr="00D07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sprawie sposobu podziału środków finansowych </w:t>
            </w:r>
            <w:r w:rsidR="00682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dla </w:t>
            </w:r>
            <w:r w:rsidR="006829FD" w:rsidRPr="006829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uczelni medycznych nadzorowanych przez </w:t>
            </w:r>
            <w:r w:rsidR="009316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ministra właściwego do spraw zdrowia</w:t>
            </w:r>
            <w:r w:rsidR="00CE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40C9B" w14:textId="77777777" w:rsidR="009531E2" w:rsidRPr="00D0733D" w:rsidRDefault="009531E2" w:rsidP="00EB005A">
            <w:pPr>
              <w:spacing w:line="240" w:lineRule="auto"/>
              <w:ind w:lef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E4472A" w14:textId="77777777" w:rsidR="00D8148A" w:rsidRPr="00D0733D" w:rsidRDefault="00D8148A" w:rsidP="00EB005A">
            <w:pPr>
              <w:spacing w:line="240" w:lineRule="auto"/>
              <w:ind w:hanging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p w14:paraId="1DE26685" w14:textId="5C4C5E88" w:rsidR="005E31E1" w:rsidRDefault="00D001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Ministerstwo </w:t>
            </w:r>
            <w:r w:rsidR="00FF3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Zdrowia </w:t>
            </w:r>
          </w:p>
          <w:p w14:paraId="78D37BC4" w14:textId="77777777" w:rsidR="00FF30BC" w:rsidRPr="00D0733D" w:rsidRDefault="00FF30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83BD6F" w14:textId="77777777" w:rsidR="001B3460" w:rsidRPr="00D0733D" w:rsidRDefault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0606F8E2" w14:textId="7F1802F2" w:rsidR="001B3460" w:rsidRDefault="00B17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 Józefa Szczurek-Żelazko, S</w:t>
            </w:r>
            <w:r w:rsidR="001C21C4" w:rsidRPr="00D0733D">
              <w:rPr>
                <w:rFonts w:ascii="Times New Roman" w:hAnsi="Times New Roman"/>
                <w:sz w:val="24"/>
                <w:szCs w:val="24"/>
              </w:rPr>
              <w:t>ekretarz Stanu</w:t>
            </w:r>
            <w:r w:rsidR="00F14E50" w:rsidRPr="00D0733D">
              <w:rPr>
                <w:rFonts w:ascii="Times New Roman" w:hAnsi="Times New Roman"/>
                <w:sz w:val="24"/>
                <w:szCs w:val="24"/>
              </w:rPr>
              <w:t xml:space="preserve"> w M</w:t>
            </w:r>
            <w:r w:rsidR="000E7CB3" w:rsidRPr="00D0733D">
              <w:rPr>
                <w:rFonts w:ascii="Times New Roman" w:hAnsi="Times New Roman"/>
                <w:sz w:val="24"/>
                <w:szCs w:val="24"/>
              </w:rPr>
              <w:t xml:space="preserve">inisterstwie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</w:p>
          <w:p w14:paraId="39AA0CEF" w14:textId="77777777" w:rsidR="00EB005A" w:rsidRPr="00D0733D" w:rsidRDefault="00EB0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6BA5C" w14:textId="77777777" w:rsidR="006A701A" w:rsidRPr="00D0733D" w:rsidRDefault="006A701A" w:rsidP="00921D9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65250824" w14:textId="0CB3AE90" w:rsidR="00B173EE" w:rsidRDefault="00B173EE" w:rsidP="00EB005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Zadorożna</w:t>
            </w:r>
            <w:proofErr w:type="spellEnd"/>
            <w:r w:rsidR="0011761E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Zastępca Dyrektora Departamentu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Kwalifikacji Medycznych i Nauki,</w:t>
            </w:r>
          </w:p>
          <w:p w14:paraId="4FA84778" w14:textId="105E2020" w:rsidR="006A701A" w:rsidRPr="00D0733D" w:rsidRDefault="0011761E" w:rsidP="00EB005A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r w:rsidR="0009104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22 </w:t>
            </w:r>
            <w:r w:rsidR="009316EF">
              <w:rPr>
                <w:rFonts w:ascii="Times New Roman" w:hAnsi="Times New Roman"/>
                <w:color w:val="000000"/>
                <w:sz w:val="24"/>
                <w:szCs w:val="24"/>
              </w:rPr>
              <w:t>86 01</w:t>
            </w:r>
            <w:r w:rsidR="007756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316E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7756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173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3E5098" w:rsidRPr="00175404">
                <w:rPr>
                  <w:rStyle w:val="Hipercze"/>
                  <w:rFonts w:ascii="Times New Roman" w:hAnsi="Times New Roman"/>
                  <w:sz w:val="24"/>
                  <w:szCs w:val="24"/>
                </w:rPr>
                <w:t>m.zadorozna@mz.gov.pl</w:t>
              </w:r>
            </w:hyperlink>
            <w:r w:rsidR="003E5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CA9D97" w14:textId="77777777" w:rsidR="000E7CB3" w:rsidRPr="00D0733D" w:rsidRDefault="000E7CB3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0C58E9" w14:textId="744C3471" w:rsidR="00EE21EA" w:rsidRPr="004F22CE" w:rsidRDefault="00B173EE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Stanisław Stelmach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D4A84">
              <w:rPr>
                <w:rFonts w:ascii="Times New Roman" w:hAnsi="Times New Roman"/>
                <w:color w:val="000000"/>
                <w:sz w:val="24"/>
                <w:szCs w:val="24"/>
              </w:rPr>
              <w:t>Wydział</w:t>
            </w:r>
            <w:r w:rsidR="005D7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Nauki i </w:t>
            </w:r>
            <w:r w:rsidR="00BC3796">
              <w:rPr>
                <w:rFonts w:ascii="Times New Roman" w:hAnsi="Times New Roman"/>
                <w:color w:val="000000"/>
                <w:sz w:val="24"/>
                <w:szCs w:val="24"/>
              </w:rPr>
              <w:t>Spraw Organizacyjno-Prawnych</w:t>
            </w:r>
            <w:r w:rsidR="005D7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Departamencie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Kwalifikacji Medycznych i Nauki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D7D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r w:rsidR="00EE21E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86-01-237</w:t>
            </w:r>
            <w:r w:rsidR="00F50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6088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  <w:r w:rsidR="0086088D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s.stelmach</w:t>
            </w:r>
            <w:hyperlink r:id="rId10" w:history="1">
              <w:r w:rsidR="000E7CB3" w:rsidRPr="00D0733D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79BBBF2E" w14:textId="5E4DE209" w:rsidR="001B3460" w:rsidRPr="00D0733D" w:rsidRDefault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D0733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53A72">
              <w:rPr>
                <w:rFonts w:ascii="Times New Roman" w:hAnsi="Times New Roman"/>
                <w:sz w:val="24"/>
                <w:szCs w:val="24"/>
              </w:rPr>
              <w:t>30</w:t>
            </w:r>
            <w:r w:rsidR="007E3C2A">
              <w:rPr>
                <w:rFonts w:ascii="Times New Roman" w:hAnsi="Times New Roman"/>
                <w:sz w:val="24"/>
                <w:szCs w:val="24"/>
              </w:rPr>
              <w:t>.0</w:t>
            </w:r>
            <w:r w:rsidR="003E5098">
              <w:rPr>
                <w:rFonts w:ascii="Times New Roman" w:hAnsi="Times New Roman"/>
                <w:sz w:val="24"/>
                <w:szCs w:val="24"/>
              </w:rPr>
              <w:t>4</w:t>
            </w:r>
            <w:r w:rsidR="007E3C2A">
              <w:rPr>
                <w:rFonts w:ascii="Times New Roman" w:hAnsi="Times New Roman"/>
                <w:sz w:val="24"/>
                <w:szCs w:val="24"/>
              </w:rPr>
              <w:t>.</w:t>
            </w:r>
            <w:r w:rsidR="00D438C4" w:rsidRPr="00D0733D">
              <w:rPr>
                <w:rFonts w:ascii="Times New Roman" w:hAnsi="Times New Roman"/>
                <w:sz w:val="24"/>
                <w:szCs w:val="24"/>
              </w:rPr>
              <w:t>20</w:t>
            </w:r>
            <w:r w:rsidR="003B3471" w:rsidRPr="00D0733D">
              <w:rPr>
                <w:rFonts w:ascii="Times New Roman" w:hAnsi="Times New Roman"/>
                <w:sz w:val="24"/>
                <w:szCs w:val="24"/>
              </w:rPr>
              <w:t>1</w:t>
            </w:r>
            <w:r w:rsidR="009316EF">
              <w:rPr>
                <w:rFonts w:ascii="Times New Roman" w:hAnsi="Times New Roman"/>
                <w:sz w:val="24"/>
                <w:szCs w:val="24"/>
              </w:rPr>
              <w:t>9</w:t>
            </w:r>
            <w:r w:rsidR="001C21C4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9DC" w:rsidRPr="00D0733D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2A22E10" w14:textId="77777777" w:rsidR="00D355F3" w:rsidRPr="00D0733D" w:rsidRDefault="00D3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DFA73" w14:textId="77777777" w:rsidR="00D133D3" w:rsidRPr="00D0733D" w:rsidRDefault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</w:p>
          <w:p w14:paraId="030DD111" w14:textId="60BE2A76" w:rsidR="00EE183B" w:rsidRDefault="00EE1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z w:val="24"/>
                <w:szCs w:val="24"/>
              </w:rPr>
              <w:t>art</w:t>
            </w:r>
            <w:r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E1792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E7D86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4F22CE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90D58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E7D86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ust.</w:t>
            </w:r>
            <w:r w:rsidR="004C5F0A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0823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ustawy </w:t>
            </w:r>
            <w:r w:rsidR="004F22CE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dnia 20 lipca </w:t>
            </w:r>
            <w:r w:rsidR="00115C38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r. </w:t>
            </w:r>
            <w:r w:rsidR="00D133D3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‒ Prawo</w:t>
            </w:r>
            <w:r w:rsidR="00CE7D86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33D3" w:rsidRPr="00F0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szkolnictwie w</w:t>
            </w:r>
            <w:r w:rsidR="00D133D3" w:rsidRPr="00D0733D">
              <w:rPr>
                <w:rFonts w:ascii="Times New Roman" w:hAnsi="Times New Roman"/>
                <w:sz w:val="24"/>
                <w:szCs w:val="24"/>
              </w:rPr>
              <w:t>yższym</w:t>
            </w:r>
            <w:r w:rsidR="004C5F0A" w:rsidRPr="00D0733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1266D" w:rsidRPr="00D0733D">
              <w:rPr>
                <w:rFonts w:ascii="Times New Roman" w:hAnsi="Times New Roman"/>
                <w:sz w:val="24"/>
                <w:szCs w:val="24"/>
              </w:rPr>
              <w:t> </w:t>
            </w:r>
            <w:r w:rsidR="004C5F0A" w:rsidRPr="00D0733D">
              <w:rPr>
                <w:rFonts w:ascii="Times New Roman" w:hAnsi="Times New Roman"/>
                <w:sz w:val="24"/>
                <w:szCs w:val="24"/>
              </w:rPr>
              <w:t>nauce</w:t>
            </w:r>
            <w:r w:rsidR="00D133D3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F25" w:rsidRPr="00D0733D">
              <w:rPr>
                <w:rFonts w:ascii="Times New Roman" w:hAnsi="Times New Roman"/>
                <w:sz w:val="24"/>
                <w:szCs w:val="24"/>
              </w:rPr>
              <w:t xml:space="preserve">(Dz. U. </w:t>
            </w:r>
            <w:r w:rsidR="004F22CE">
              <w:rPr>
                <w:rFonts w:ascii="Times New Roman" w:hAnsi="Times New Roman"/>
                <w:sz w:val="24"/>
                <w:szCs w:val="24"/>
              </w:rPr>
              <w:t>poz. 1668</w:t>
            </w:r>
            <w:r w:rsidR="003E5098"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3E5098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3E5098">
              <w:rPr>
                <w:rFonts w:ascii="Times New Roman" w:hAnsi="Times New Roman"/>
                <w:sz w:val="24"/>
                <w:szCs w:val="24"/>
              </w:rPr>
              <w:t>. zm.</w:t>
            </w:r>
            <w:r w:rsidR="00EB1F25" w:rsidRPr="00D073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571612F" w14:textId="77777777" w:rsidR="00EB005A" w:rsidRPr="00D0733D" w:rsidRDefault="00EB00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1786F" w14:textId="77777777" w:rsidR="00090A3A" w:rsidRDefault="006A701A" w:rsidP="00921D9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 </w:t>
            </w:r>
            <w:r w:rsidR="006D2DC8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legislacyjnych</w:t>
            </w:r>
            <w:r w:rsidR="00EE1792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Ministra </w:t>
            </w:r>
            <w:r w:rsidR="00B1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Zdrowia</w:t>
            </w:r>
            <w:r w:rsidR="006D2DC8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592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1A30FF" w14:textId="28A8674F" w:rsidR="006A701A" w:rsidRPr="00B173EE" w:rsidRDefault="00090A3A" w:rsidP="00921D9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MZ </w:t>
            </w:r>
            <w:r w:rsidR="000149DF" w:rsidRPr="00121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757</w:t>
            </w:r>
            <w:r w:rsidR="00592CF2" w:rsidRPr="00121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D68CD8" w14:textId="77777777" w:rsidR="006A701A" w:rsidRPr="00D0733D" w:rsidRDefault="006A701A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D0733D" w14:paraId="10EBBB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F436EC" w14:textId="77777777" w:rsidR="006A701A" w:rsidRPr="00D0733D" w:rsidRDefault="006A701A" w:rsidP="00EB005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D0733D" w14:paraId="3301FAC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934670" w14:textId="77777777" w:rsidR="006A701A" w:rsidRPr="00D0733D" w:rsidRDefault="003D12F6" w:rsidP="00921D9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D0733D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1" w:name="Wybór1"/>
            <w:bookmarkEnd w:id="1"/>
          </w:p>
        </w:tc>
      </w:tr>
      <w:tr w:rsidR="006A701A" w:rsidRPr="00D0733D" w14:paraId="1BB5BD0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FF4238" w14:textId="0173D916" w:rsidR="00FA4015" w:rsidRPr="00D0733D" w:rsidRDefault="00B173EE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końca ro</w:t>
            </w:r>
            <w:r w:rsidR="001E583E">
              <w:rPr>
                <w:rFonts w:ascii="Times New Roman" w:hAnsi="Times New Roman"/>
                <w:color w:val="000000"/>
                <w:sz w:val="24"/>
                <w:szCs w:val="24"/>
              </w:rPr>
              <w:t>ku budżetowego 2018 działalność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uczelni medycznych </w:t>
            </w:r>
            <w:r w:rsidR="003859C1">
              <w:rPr>
                <w:rFonts w:ascii="Times New Roman" w:hAnsi="Times New Roman"/>
                <w:color w:val="000000"/>
                <w:sz w:val="24"/>
                <w:szCs w:val="24"/>
              </w:rPr>
              <w:t>była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9C1">
              <w:rPr>
                <w:rFonts w:ascii="Times New Roman" w:hAnsi="Times New Roman"/>
                <w:color w:val="000000"/>
                <w:sz w:val="24"/>
                <w:szCs w:val="24"/>
              </w:rPr>
              <w:t>finansowana</w:t>
            </w:r>
            <w:r w:rsidR="00E2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budżetu państwa </w:t>
            </w:r>
            <w:r w:rsidR="00385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>rozdzielnie w odniesieniu do działalności dydaktycznej i naukowej.</w:t>
            </w:r>
            <w:r w:rsidR="00CD6A5E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System </w:t>
            </w:r>
            <w:r w:rsidR="00CA2B7F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szkolnictwa wyższego</w:t>
            </w:r>
            <w:r w:rsidR="004656A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(w tym </w:t>
            </w:r>
            <w:r w:rsidR="00E2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działalność </w:t>
            </w:r>
            <w:r w:rsidR="00C51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dydaktyczna </w:t>
            </w:r>
            <w:r w:rsidR="00E26FF2">
              <w:rPr>
                <w:rFonts w:ascii="Times New Roman" w:hAnsi="Times New Roman"/>
                <w:color w:val="000000"/>
                <w:sz w:val="24"/>
                <w:szCs w:val="24"/>
              </w:rPr>
              <w:t>uczelni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medyczn</w:t>
            </w:r>
            <w:r w:rsidR="00E26FF2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656A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był finansowany zgodnie z przepisami ustawy z dnia 27 lipca 2005 r. – Prawo o szkolnictwie wyższym (Dz. U. z 2017 r. poz. 2183, z </w:t>
            </w:r>
            <w:proofErr w:type="spellStart"/>
            <w:r w:rsidR="004656A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późn</w:t>
            </w:r>
            <w:proofErr w:type="spellEnd"/>
            <w:r w:rsidR="004656A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zm.), natomiast system nauki – zgodnie z przepisami ustawy </w:t>
            </w:r>
            <w:r w:rsidR="004656AD" w:rsidRPr="00D0733D">
              <w:rPr>
                <w:rFonts w:ascii="Times New Roman" w:hAnsi="Times New Roman"/>
                <w:sz w:val="24"/>
                <w:szCs w:val="24"/>
              </w:rPr>
              <w:t>z dnia 30 kwietnia 2010 r. o zasadach finansowania nauki (Dz. U. z 2018 r. poz. 87)</w:t>
            </w:r>
            <w:r w:rsidR="00273940" w:rsidRPr="00D0733D">
              <w:rPr>
                <w:rFonts w:ascii="Times New Roman" w:hAnsi="Times New Roman"/>
                <w:sz w:val="24"/>
                <w:szCs w:val="24"/>
              </w:rPr>
              <w:t>.</w:t>
            </w:r>
            <w:r w:rsidR="000A31E7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3E">
              <w:rPr>
                <w:rFonts w:ascii="Times New Roman" w:hAnsi="Times New Roman"/>
                <w:sz w:val="24"/>
                <w:szCs w:val="24"/>
              </w:rPr>
              <w:t>Ś</w:t>
            </w:r>
            <w:r w:rsidR="004B1D7B">
              <w:rPr>
                <w:rFonts w:ascii="Times New Roman" w:hAnsi="Times New Roman"/>
                <w:sz w:val="24"/>
                <w:szCs w:val="24"/>
              </w:rPr>
              <w:t>rodki</w:t>
            </w:r>
            <w:r w:rsidR="004B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finansowe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przeznaczone </w:t>
            </w:r>
            <w:r w:rsidR="00D36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budżecie państwa </w:t>
            </w:r>
            <w:r w:rsidR="004B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szkolnictwo wyższe i naukę </w:t>
            </w:r>
            <w:r w:rsidR="00D36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były dystrybuowane za pomocą wielu strumieni finansowych, które rządziły się odrębnymi 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regułami</w:t>
            </w:r>
            <w:r w:rsidR="00FA401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do możliwego zakresu </w:t>
            </w:r>
            <w:r w:rsidR="00D36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ich </w:t>
            </w:r>
            <w:r w:rsidR="00FA401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ydatkowania. Ograniczona elastyczność w wydatkowaniu </w:t>
            </w:r>
            <w:r w:rsidR="00B450D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tych 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środków </w:t>
            </w:r>
            <w:r w:rsidR="00FA5DF4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r w:rsidR="009E1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dzielnie na szkolnictwo wyższe </w:t>
            </w:r>
            <w:r w:rsidR="001E583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4F2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na naukę</w:t>
            </w:r>
            <w:r w:rsidR="00FA5DF4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A31E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stanowiła barierę dla sprawneg</w:t>
            </w:r>
            <w:r w:rsidR="006165B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 zarządzania finansami uczelni oraz osiągnięcia efektu synergii między poszczególnymi strumieniami finansowymi.</w:t>
            </w:r>
          </w:p>
          <w:p w14:paraId="749C3D93" w14:textId="1790E1F0" w:rsidR="00955C11" w:rsidRPr="00D0733D" w:rsidRDefault="00FA5DF4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 ustawie</w:t>
            </w:r>
            <w:r w:rsidR="007B2EB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dnia </w:t>
            </w:r>
            <w:r w:rsidR="00E10060" w:rsidRPr="0056783C">
              <w:rPr>
                <w:rFonts w:ascii="Times New Roman" w:hAnsi="Times New Roman"/>
                <w:sz w:val="24"/>
                <w:szCs w:val="24"/>
              </w:rPr>
              <w:t>20 lipca 2018 r. – Prawo o szkolnictwie wyższym i nauce</w:t>
            </w:r>
            <w:r w:rsidR="003D345C">
              <w:rPr>
                <w:rFonts w:ascii="Times New Roman" w:hAnsi="Times New Roman"/>
                <w:sz w:val="24"/>
                <w:szCs w:val="24"/>
              </w:rPr>
              <w:t xml:space="preserve"> (Dz. U. poz. 1668, z </w:t>
            </w:r>
            <w:proofErr w:type="spellStart"/>
            <w:r w:rsidR="003D345C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3D345C">
              <w:rPr>
                <w:rFonts w:ascii="Times New Roman" w:hAnsi="Times New Roman"/>
                <w:sz w:val="24"/>
                <w:szCs w:val="24"/>
              </w:rPr>
              <w:t>. zm.)</w:t>
            </w:r>
            <w:r w:rsidR="006F47D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 zwanej</w:t>
            </w:r>
            <w:r w:rsidR="007B2EB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dalej „ustawą”, </w:t>
            </w:r>
            <w:r w:rsidR="007155FC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zawarto całościową regulację dotyczącą finansowania systemu szkolnictwa wyższego </w:t>
            </w:r>
            <w:r w:rsidR="00AB0CE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155FC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i nauki</w:t>
            </w:r>
            <w:r w:rsidR="006751EB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 w tym m.in.</w:t>
            </w:r>
            <w:r w:rsidR="00855569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2EB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 rozwiązania w zakresie </w:t>
            </w:r>
            <w:r w:rsidR="005330F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dotychczasowych </w:t>
            </w:r>
            <w:r w:rsidR="007B2EB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strumieni finans</w:t>
            </w:r>
            <w:r w:rsidR="005731AE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owych</w:t>
            </w:r>
            <w:r w:rsidR="00A47998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przewidzianych w</w:t>
            </w:r>
            <w:r w:rsidR="00955C1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8F32B83" w14:textId="77777777" w:rsidR="00955C11" w:rsidRPr="00D0733D" w:rsidRDefault="00A47998" w:rsidP="00EB005A">
            <w:pPr>
              <w:pStyle w:val="Akapitzlist"/>
              <w:numPr>
                <w:ilvl w:val="0"/>
                <w:numId w:val="3"/>
              </w:numPr>
              <w:spacing w:line="240" w:lineRule="auto"/>
              <w:ind w:left="323" w:hanging="3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94 ust. 1 pkt 1 ustawy z dnia 27 lipca 2005 r. – Prawo o szkolnictwie </w:t>
            </w:r>
            <w:r w:rsidR="004F22CE">
              <w:rPr>
                <w:rFonts w:ascii="Times New Roman" w:hAnsi="Times New Roman"/>
                <w:color w:val="000000"/>
                <w:sz w:val="24"/>
                <w:szCs w:val="24"/>
              </w:rPr>
              <w:t>wyższym</w:t>
            </w:r>
            <w:r w:rsidR="00014E2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14E20" w:rsidRPr="00D0733D">
              <w:rPr>
                <w:rFonts w:ascii="Times New Roman" w:hAnsi="Times New Roman"/>
                <w:sz w:val="24"/>
                <w:szCs w:val="24"/>
              </w:rPr>
              <w:t xml:space="preserve"> przeznaczonych na zadania związane z kształceniem studentów studiów stacjonarnych, kształceniem uczestników stacjonarnych studiów doktoranckich, kształceniem kadr naukowych, utrzymaniem uczelni, w tym na remonty</w:t>
            </w:r>
            <w:r w:rsidR="00955C11" w:rsidRPr="00D07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D904DA" w14:textId="77777777" w:rsidR="004E41D1" w:rsidRDefault="00A47998" w:rsidP="00EB005A">
            <w:pPr>
              <w:pStyle w:val="Akapitzlist"/>
              <w:numPr>
                <w:ilvl w:val="0"/>
                <w:numId w:val="3"/>
              </w:numPr>
              <w:spacing w:line="240" w:lineRule="auto"/>
              <w:ind w:left="322" w:hanging="3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</w:t>
            </w:r>
            <w:r w:rsidR="0084400B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ust. 1 pkt 1 </w:t>
            </w:r>
            <w:r w:rsidR="004E41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ustawy </w:t>
            </w:r>
            <w:r w:rsidR="004E41D1" w:rsidRPr="00D0733D">
              <w:rPr>
                <w:rFonts w:ascii="Times New Roman" w:hAnsi="Times New Roman"/>
                <w:sz w:val="24"/>
                <w:szCs w:val="24"/>
              </w:rPr>
              <w:t xml:space="preserve">z dnia 30 kwietnia 2010 r. o zasadach finansowania </w:t>
            </w:r>
            <w:r w:rsidR="004F22CE">
              <w:rPr>
                <w:rFonts w:ascii="Times New Roman" w:hAnsi="Times New Roman"/>
                <w:sz w:val="24"/>
                <w:szCs w:val="24"/>
              </w:rPr>
              <w:t>nauki</w:t>
            </w:r>
            <w:r w:rsidR="004E41D1" w:rsidRPr="00D0733D">
              <w:rPr>
                <w:rFonts w:ascii="Times New Roman" w:hAnsi="Times New Roman"/>
                <w:sz w:val="24"/>
                <w:szCs w:val="24"/>
              </w:rPr>
              <w:t xml:space="preserve">, przeznaczonych na </w:t>
            </w:r>
            <w:r w:rsidR="00611D1F" w:rsidRPr="00D0733D">
              <w:rPr>
                <w:rFonts w:ascii="Times New Roman" w:hAnsi="Times New Roman"/>
                <w:sz w:val="24"/>
                <w:szCs w:val="24"/>
              </w:rPr>
              <w:t xml:space="preserve">finansowanie działalności statutowej, obejmujące </w:t>
            </w:r>
            <w:r w:rsidR="004E41D1" w:rsidRPr="00D0733D">
              <w:rPr>
                <w:rFonts w:ascii="Times New Roman" w:hAnsi="Times New Roman"/>
                <w:sz w:val="24"/>
                <w:szCs w:val="24"/>
              </w:rPr>
              <w:t>utrzymanie potencjału badawczego jednostki naukowej;</w:t>
            </w:r>
          </w:p>
          <w:p w14:paraId="093BAA0F" w14:textId="6BFAF5BD" w:rsidR="002F2253" w:rsidRPr="002F2253" w:rsidRDefault="002F225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22" w:hanging="32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18 ust. 1 pkt 3 ustawy </w:t>
            </w:r>
            <w:r w:rsidRPr="00D0733D">
              <w:rPr>
                <w:rFonts w:ascii="Times New Roman" w:hAnsi="Times New Roman"/>
                <w:sz w:val="24"/>
                <w:szCs w:val="24"/>
              </w:rPr>
              <w:t>z dnia 30 kwietnia 2010 r. o zasadach finansowania nauki, przeznaczonych na finansowanie działalności statutowej, obejmujące działalność podstawowych jednostek organizacyjnych uczelni, jednostek naukowych Polskiej Akademii Nauk, instytutów badawczych i międzynarodowych instytutów naukowych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733D">
              <w:rPr>
                <w:rFonts w:ascii="Times New Roman" w:hAnsi="Times New Roman"/>
                <w:sz w:val="24"/>
                <w:szCs w:val="24"/>
              </w:rPr>
              <w:t xml:space="preserve"> polegającą na prowadzeniu badań naukowych lub prac rozwojowych oraz zadań </w:t>
            </w:r>
            <w:r w:rsidRPr="00D0733D">
              <w:rPr>
                <w:rFonts w:ascii="Times New Roman" w:hAnsi="Times New Roman"/>
                <w:sz w:val="24"/>
                <w:szCs w:val="24"/>
              </w:rPr>
              <w:br/>
              <w:t>z nimi związanych, służących rozwojowi młodych naukowców oraz uczestników studiów doktoranckich, finansowanych w wewnętrznym trybie konkursowym.</w:t>
            </w:r>
          </w:p>
          <w:p w14:paraId="02A862BC" w14:textId="0DEA5408" w:rsidR="00BC290F" w:rsidRPr="00D0733D" w:rsidRDefault="002F2253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Dotychczas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środki finansowe w ramach strumieni wymienionych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pkt 1 i 2 były przyznawane uprawnionym podmiotom w formie dotacji podmiotowej,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natomiast w ramach strumienia wymienionego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pkt 3 – w formie dotacji celowej. </w:t>
            </w:r>
            <w:r w:rsidR="00EC647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Aktualnie </w:t>
            </w:r>
            <w:r w:rsidR="006D71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analogiczne środki finansowe</w:t>
            </w:r>
            <w:r w:rsidR="005E7ED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 tj. wymienione w art. 36</w:t>
            </w:r>
            <w:r w:rsidR="00E100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71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47D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pkt 1</w:t>
            </w:r>
            <w:r w:rsidR="00B55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lit. a–</w:t>
            </w:r>
            <w:r w:rsidR="00E1006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6F47D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E1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pkt</w:t>
            </w:r>
            <w:r w:rsidR="006F47D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B55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lit. a–</w:t>
            </w:r>
            <w:r w:rsidR="00E10060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AB0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ustawy </w:t>
            </w:r>
            <w:r w:rsidR="006D71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przeznaczone o</w:t>
            </w:r>
            <w:r w:rsidR="006F47D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dpowiednio </w:t>
            </w:r>
            <w:r w:rsidR="006D71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</w:t>
            </w:r>
            <w:r w:rsidR="00FB6072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utrzymanie i rozwój potencjału dydaktycznego oraz </w:t>
            </w:r>
            <w:r w:rsidR="00345E3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utrzymanie i rozwój </w:t>
            </w:r>
            <w:r w:rsidR="00FB6072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potencjału badawczego)</w:t>
            </w:r>
            <w:r w:rsidR="006A071B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B5B6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będą przyznawane w formie 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jednej </w:t>
            </w:r>
            <w:r w:rsidR="00BB5B6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286B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468D1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42E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2A73E8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otychczas dotacja na utrzymanie potencjału badawczego </w:t>
            </w:r>
            <w:r w:rsidR="00860EDC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była </w:t>
            </w:r>
            <w:r w:rsidR="002A73E8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przekazywana podstawowym jednostkom organizacyjnym</w:t>
            </w:r>
            <w:r w:rsidR="00566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73E8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uczelni</w:t>
            </w:r>
            <w:r w:rsidR="00BC290F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natomiast aktualnie analogiczną subwencję otrzyma uczelnia (to władze </w:t>
            </w:r>
            <w:r w:rsidR="00946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danej </w:t>
            </w:r>
            <w:r w:rsidR="00BC290F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uczelni będą odpowiedzialne za rozdysponowanie przyznanych środków finansowych między </w:t>
            </w:r>
            <w:r w:rsidR="00946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jej </w:t>
            </w:r>
            <w:r w:rsidR="00BC290F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jednostki organizacyjne).</w:t>
            </w:r>
          </w:p>
          <w:p w14:paraId="10E0755B" w14:textId="1CA63ADA" w:rsidR="00E10060" w:rsidRDefault="001B1F20" w:rsidP="00921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Sposób podziału środków finansowych, o których mowa w pkt 1, </w:t>
            </w:r>
            <w:r w:rsidR="0014586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był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określony w rozporządzeniu Ministra Nauki i Szkolnictwa Wyższego z dnia 27 marca 2015 r. w sprawie sposobu podziału dotacji z budżetu państwa dla uczelni publicznych i niepublicznych (Dz. U. z 2017 r. poz. 2163), natomiast sposób ustalania wysokości dotacji ze środków finansowych, o których mowa w </w:t>
            </w:r>
            <w:r w:rsidRPr="002F2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pkt 2 i 3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w rozporządzeniu Ministra Nauki i Szkolnictwa Wyższego z dnia 11 września 2015 r. w sprawie sposobu ustalania wysokości dotacji i rozliczania środków finansowych na utrzymanie potencjału badawczego oraz na badania naukowe lub prace rozwojowe oraz zadania z nimi związane, służące rozwojowi młodych naukowców oraz uczestników studiów doktoranckich (Dz. U. </w:t>
            </w:r>
            <w:r w:rsidR="00EC518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25046">
              <w:rPr>
                <w:rFonts w:ascii="Times New Roman" w:hAnsi="Times New Roman"/>
                <w:sz w:val="24"/>
                <w:szCs w:val="24"/>
              </w:rPr>
              <w:t>poz. 1443 oraz z 2017 r. poz. 1495</w:t>
            </w:r>
            <w:r w:rsidRPr="00D0733D">
              <w:rPr>
                <w:rFonts w:ascii="Times New Roman" w:hAnsi="Times New Roman"/>
                <w:sz w:val="24"/>
                <w:szCs w:val="24"/>
              </w:rPr>
              <w:t>).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 xml:space="preserve"> Rozporządzenia te </w:t>
            </w:r>
            <w:r w:rsidR="00286B3E">
              <w:rPr>
                <w:rFonts w:ascii="Times New Roman" w:hAnsi="Times New Roman"/>
                <w:sz w:val="24"/>
                <w:szCs w:val="24"/>
              </w:rPr>
              <w:t>s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>trac</w:t>
            </w:r>
            <w:r w:rsidR="00286B3E">
              <w:rPr>
                <w:rFonts w:ascii="Times New Roman" w:hAnsi="Times New Roman"/>
                <w:sz w:val="24"/>
                <w:szCs w:val="24"/>
              </w:rPr>
              <w:t xml:space="preserve">iły 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>moc z dniem 1 październik</w:t>
            </w:r>
            <w:r w:rsidR="00F57667">
              <w:rPr>
                <w:rFonts w:ascii="Times New Roman" w:hAnsi="Times New Roman"/>
                <w:sz w:val="24"/>
                <w:szCs w:val="24"/>
              </w:rPr>
              <w:t xml:space="preserve">a 2018 r. na podstawie </w:t>
            </w:r>
            <w:r w:rsidR="00F57667">
              <w:rPr>
                <w:rFonts w:ascii="Times New Roman" w:hAnsi="Times New Roman"/>
                <w:sz w:val="24"/>
                <w:szCs w:val="24"/>
              </w:rPr>
              <w:br/>
              <w:t>art. 169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 xml:space="preserve"> pkt </w:t>
            </w:r>
            <w:r w:rsidR="00D875B4">
              <w:rPr>
                <w:rFonts w:ascii="Times New Roman" w:hAnsi="Times New Roman"/>
                <w:sz w:val="24"/>
                <w:szCs w:val="24"/>
              </w:rPr>
              <w:t>3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D875B4">
              <w:rPr>
                <w:rFonts w:ascii="Times New Roman" w:hAnsi="Times New Roman"/>
                <w:sz w:val="24"/>
                <w:szCs w:val="24"/>
              </w:rPr>
              <w:t>4</w:t>
            </w:r>
            <w:r w:rsidR="009A1949" w:rsidRPr="00D0733D">
              <w:rPr>
                <w:rFonts w:ascii="Times New Roman" w:hAnsi="Times New Roman"/>
                <w:sz w:val="24"/>
                <w:szCs w:val="24"/>
              </w:rPr>
              <w:t xml:space="preserve"> ustawy </w:t>
            </w:r>
            <w:r w:rsidR="00566E7B">
              <w:rPr>
                <w:rFonts w:ascii="Times New Roman" w:hAnsi="Times New Roman"/>
                <w:sz w:val="24"/>
                <w:szCs w:val="24"/>
              </w:rPr>
              <w:t>z dnia 3 lipca 2018 r. –</w:t>
            </w:r>
            <w:r w:rsidR="00E10060" w:rsidRPr="00E10060">
              <w:rPr>
                <w:rFonts w:ascii="Times New Roman" w:hAnsi="Times New Roman"/>
                <w:sz w:val="24"/>
                <w:szCs w:val="24"/>
              </w:rPr>
              <w:t xml:space="preserve"> Przepisy wprowadzające ustawę – Prawo o szkolnictwie wyższym i nauce (Dz. U. poz. 1669</w:t>
            </w:r>
            <w:r w:rsidR="006829FD"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6829FD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6829FD">
              <w:rPr>
                <w:rFonts w:ascii="Times New Roman" w:hAnsi="Times New Roman"/>
                <w:sz w:val="24"/>
                <w:szCs w:val="24"/>
              </w:rPr>
              <w:t>. zm.</w:t>
            </w:r>
            <w:r w:rsidR="00E10060" w:rsidRPr="00E10060">
              <w:rPr>
                <w:rFonts w:ascii="Times New Roman" w:hAnsi="Times New Roman"/>
                <w:sz w:val="24"/>
                <w:szCs w:val="24"/>
              </w:rPr>
              <w:t>)</w:t>
            </w:r>
            <w:r w:rsidR="00566E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5B4">
              <w:rPr>
                <w:rFonts w:ascii="Times New Roman" w:hAnsi="Times New Roman"/>
                <w:sz w:val="24"/>
                <w:szCs w:val="24"/>
              </w:rPr>
              <w:t>zwanej dalej „ustawą wprowadzającą”</w:t>
            </w:r>
            <w:r w:rsidR="00E10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02DA3D" w14:textId="1C1C46E3" w:rsidR="00E83E7D" w:rsidRPr="00D73BA9" w:rsidRDefault="00394F69" w:rsidP="00921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z w:val="24"/>
                <w:szCs w:val="24"/>
              </w:rPr>
              <w:t xml:space="preserve">Odmiennie niż poprzednio, </w:t>
            </w:r>
            <w:r w:rsidR="006F7F78" w:rsidRPr="00D0733D">
              <w:rPr>
                <w:rFonts w:ascii="Times New Roman" w:hAnsi="Times New Roman"/>
                <w:sz w:val="24"/>
                <w:szCs w:val="24"/>
              </w:rPr>
              <w:t>ustawodawca zobowiązał ministr</w:t>
            </w:r>
            <w:r w:rsidR="00452C1F"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 w:rsidR="006F7F78" w:rsidRPr="00D0733D">
              <w:rPr>
                <w:rFonts w:ascii="Times New Roman" w:hAnsi="Times New Roman"/>
                <w:sz w:val="24"/>
                <w:szCs w:val="24"/>
              </w:rPr>
              <w:t>nadzorując</w:t>
            </w:r>
            <w:r w:rsidR="00452C1F">
              <w:rPr>
                <w:rFonts w:ascii="Times New Roman" w:hAnsi="Times New Roman"/>
                <w:sz w:val="24"/>
                <w:szCs w:val="24"/>
              </w:rPr>
              <w:t>ych</w:t>
            </w:r>
            <w:r w:rsidR="006F7F78" w:rsidRPr="00D0733D">
              <w:rPr>
                <w:rFonts w:ascii="Times New Roman" w:hAnsi="Times New Roman"/>
                <w:sz w:val="24"/>
                <w:szCs w:val="24"/>
              </w:rPr>
              <w:t xml:space="preserve"> uczelnie </w:t>
            </w:r>
            <w:r w:rsidR="00452C1F">
              <w:rPr>
                <w:rFonts w:ascii="Times New Roman" w:hAnsi="Times New Roman"/>
                <w:sz w:val="24"/>
                <w:szCs w:val="24"/>
              </w:rPr>
              <w:t xml:space="preserve">publiczne wg swojej właściwości </w:t>
            </w:r>
            <w:r w:rsidR="006F7F78" w:rsidRPr="00D0733D">
              <w:rPr>
                <w:rFonts w:ascii="Times New Roman" w:hAnsi="Times New Roman"/>
                <w:sz w:val="24"/>
                <w:szCs w:val="24"/>
              </w:rPr>
              <w:t xml:space="preserve">do wydania odrębnego aktu wykonawczego określającego sposób podziału środków finansowych przeznaczonych na utrzymanie i rozwój potencjału dydaktycznego oraz </w:t>
            </w:r>
            <w:r w:rsidR="006F7F78" w:rsidRPr="00D73BA9">
              <w:rPr>
                <w:rFonts w:ascii="Times New Roman" w:hAnsi="Times New Roman"/>
                <w:sz w:val="24"/>
                <w:szCs w:val="24"/>
              </w:rPr>
              <w:t>potencjału badawczego</w:t>
            </w:r>
            <w:r w:rsidR="00463E1B" w:rsidRPr="00D7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F78" w:rsidRPr="00D73BA9">
              <w:rPr>
                <w:rFonts w:ascii="Times New Roman" w:hAnsi="Times New Roman"/>
                <w:sz w:val="24"/>
                <w:szCs w:val="24"/>
              </w:rPr>
              <w:t xml:space="preserve">dla nadzorowanych uczelni. </w:t>
            </w:r>
          </w:p>
          <w:p w14:paraId="70C048CC" w14:textId="48E98518" w:rsidR="00022ABC" w:rsidRPr="00385E98" w:rsidRDefault="00566E7B" w:rsidP="00921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A9">
              <w:rPr>
                <w:rFonts w:ascii="Times New Roman" w:hAnsi="Times New Roman"/>
                <w:sz w:val="24"/>
                <w:szCs w:val="24"/>
              </w:rPr>
              <w:t>W art. 4</w:t>
            </w:r>
            <w:r w:rsidR="00452C1F">
              <w:rPr>
                <w:rFonts w:ascii="Times New Roman" w:hAnsi="Times New Roman"/>
                <w:sz w:val="24"/>
                <w:szCs w:val="24"/>
              </w:rPr>
              <w:t>6</w:t>
            </w:r>
            <w:r w:rsidRPr="00D73B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52C1F">
              <w:rPr>
                <w:rFonts w:ascii="Times New Roman" w:hAnsi="Times New Roman"/>
                <w:sz w:val="24"/>
                <w:szCs w:val="24"/>
              </w:rPr>
              <w:t xml:space="preserve">ust. 1 </w:t>
            </w:r>
            <w:r w:rsidR="00921D9B">
              <w:rPr>
                <w:rFonts w:ascii="Times New Roman" w:hAnsi="Times New Roman"/>
                <w:sz w:val="24"/>
                <w:szCs w:val="24"/>
              </w:rPr>
              <w:t>i</w:t>
            </w:r>
            <w:r w:rsidR="00452C1F">
              <w:rPr>
                <w:rFonts w:ascii="Times New Roman" w:hAnsi="Times New Roman"/>
                <w:sz w:val="24"/>
                <w:szCs w:val="24"/>
              </w:rPr>
              <w:t xml:space="preserve"> ust 2 </w:t>
            </w:r>
            <w:r w:rsidRPr="00D73BA9">
              <w:rPr>
                <w:rFonts w:ascii="Times New Roman" w:hAnsi="Times New Roman"/>
                <w:sz w:val="24"/>
                <w:szCs w:val="24"/>
              </w:rPr>
              <w:t>ustawy m</w:t>
            </w:r>
            <w:r w:rsidR="00463E1B" w:rsidRPr="00D73BA9">
              <w:rPr>
                <w:rFonts w:ascii="Times New Roman" w:hAnsi="Times New Roman"/>
                <w:sz w:val="24"/>
                <w:szCs w:val="24"/>
              </w:rPr>
              <w:t xml:space="preserve">inister właściwy do spraw </w:t>
            </w:r>
            <w:r w:rsidR="00452C1F">
              <w:rPr>
                <w:rFonts w:ascii="Times New Roman" w:hAnsi="Times New Roman"/>
                <w:sz w:val="24"/>
                <w:szCs w:val="24"/>
              </w:rPr>
              <w:t>zdrowia</w:t>
            </w:r>
            <w:r w:rsidR="00731094" w:rsidRPr="00D73BA9">
              <w:rPr>
                <w:rFonts w:ascii="Times New Roman" w:hAnsi="Times New Roman"/>
                <w:sz w:val="24"/>
                <w:szCs w:val="24"/>
              </w:rPr>
              <w:t>, zwany dalej „ministrem”,</w:t>
            </w:r>
            <w:r w:rsidR="000B3D3D" w:rsidRPr="00D73BA9">
              <w:rPr>
                <w:rFonts w:ascii="Times New Roman" w:hAnsi="Times New Roman"/>
                <w:sz w:val="24"/>
                <w:szCs w:val="24"/>
              </w:rPr>
              <w:t xml:space="preserve"> został</w:t>
            </w:r>
            <w:r w:rsidR="000B3D3D" w:rsidRPr="00D0733D">
              <w:rPr>
                <w:rFonts w:ascii="Times New Roman" w:hAnsi="Times New Roman"/>
                <w:sz w:val="24"/>
                <w:szCs w:val="24"/>
              </w:rPr>
              <w:t xml:space="preserve"> zobowiązany </w:t>
            </w:r>
            <w:r w:rsidR="00850823" w:rsidRPr="00D0733D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942C7" w:rsidRPr="00D0733D">
              <w:rPr>
                <w:rFonts w:ascii="Times New Roman" w:hAnsi="Times New Roman"/>
                <w:sz w:val="24"/>
                <w:szCs w:val="24"/>
              </w:rPr>
              <w:t>określenia sposobu podziału śro</w:t>
            </w:r>
            <w:r w:rsidR="000B3D3D" w:rsidRPr="00D0733D">
              <w:rPr>
                <w:rFonts w:ascii="Times New Roman" w:hAnsi="Times New Roman"/>
                <w:sz w:val="24"/>
                <w:szCs w:val="24"/>
              </w:rPr>
              <w:t>dków finansowych na utrzymanie i rozwój potencjału dydaktycznego oraz potencjału badawczego</w:t>
            </w:r>
            <w:r w:rsidR="003942C7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E53" w:rsidRPr="00D0733D">
              <w:rPr>
                <w:rFonts w:ascii="Times New Roman" w:hAnsi="Times New Roman"/>
                <w:sz w:val="24"/>
                <w:szCs w:val="24"/>
              </w:rPr>
              <w:t xml:space="preserve">dla nadzorowanych </w:t>
            </w:r>
            <w:r w:rsidR="00474D40" w:rsidRPr="00D0733D">
              <w:rPr>
                <w:rFonts w:ascii="Times New Roman" w:hAnsi="Times New Roman"/>
                <w:sz w:val="24"/>
                <w:szCs w:val="24"/>
              </w:rPr>
              <w:t xml:space="preserve">uczelni </w:t>
            </w:r>
            <w:r w:rsidR="00452C1F">
              <w:rPr>
                <w:rFonts w:ascii="Times New Roman" w:hAnsi="Times New Roman"/>
                <w:sz w:val="24"/>
                <w:szCs w:val="24"/>
              </w:rPr>
              <w:t>medycznych</w:t>
            </w:r>
            <w:r w:rsidR="00474D40" w:rsidRPr="00D0733D">
              <w:rPr>
                <w:rFonts w:ascii="Times New Roman" w:hAnsi="Times New Roman"/>
                <w:sz w:val="24"/>
                <w:szCs w:val="24"/>
              </w:rPr>
              <w:t xml:space="preserve">, a także </w:t>
            </w:r>
            <w:r w:rsidR="00906E53" w:rsidRPr="00D0733D">
              <w:rPr>
                <w:rFonts w:ascii="Times New Roman" w:hAnsi="Times New Roman"/>
                <w:sz w:val="24"/>
                <w:szCs w:val="24"/>
              </w:rPr>
              <w:t>sposob</w:t>
            </w:r>
            <w:r w:rsidR="000B3D3D" w:rsidRPr="00D0733D">
              <w:rPr>
                <w:rFonts w:ascii="Times New Roman" w:hAnsi="Times New Roman"/>
                <w:sz w:val="24"/>
                <w:szCs w:val="24"/>
              </w:rPr>
              <w:t xml:space="preserve">u podziału środków finansowych na </w:t>
            </w:r>
            <w:r w:rsidR="00452C1F">
              <w:rPr>
                <w:rFonts w:ascii="Times New Roman" w:hAnsi="Times New Roman"/>
                <w:sz w:val="24"/>
                <w:szCs w:val="24"/>
              </w:rPr>
              <w:t xml:space="preserve">realizację zadań związanych z prowadzeniem podyplomowego kształcenia w celu zdobycia specjalizacji w wybranych zawodach medycznych. </w:t>
            </w:r>
          </w:p>
        </w:tc>
      </w:tr>
      <w:tr w:rsidR="006A701A" w:rsidRPr="00D0733D" w14:paraId="55AAA9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20DC28" w14:textId="77777777" w:rsidR="006A701A" w:rsidRPr="00D0733D" w:rsidRDefault="0013216E" w:rsidP="00921D9B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D0733D" w14:paraId="4DB375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3A105B" w14:textId="13880A3F" w:rsidR="0062557B" w:rsidRPr="00D0733D" w:rsidRDefault="00C11AFC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uwagi na to, iż zgodnie</w:t>
            </w:r>
            <w:r w:rsidR="007B2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art. 36</w:t>
            </w:r>
            <w:r w:rsidR="00D875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ust. 2 ustawy środki finansowe na utrzymanie i rozwój potencjału dydaktycznego oraz potencjału badawczego dla publicznych uczelni akademickich są przyznawane w ramach jednej subwencji, sposób podziału środków finansowych na te cele powinien zostać określony </w:t>
            </w:r>
            <w:r w:rsidR="005332CA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całościowo </w:t>
            </w:r>
            <w:r w:rsidR="00AB0C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jednym rozporządzeniu. Ponadto, z uwagi na to, iż dotychczas w rozporządzeniu Ministra Nauki i Szkolnictwa Wyższego z dnia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27 marca 2015 r. w sprawie sposobu podziału dotacji z budżetu p</w:t>
            </w:r>
            <w:r w:rsidR="005332C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aństwa dla uczelni </w:t>
            </w:r>
            <w:r w:rsidR="007B2A15">
              <w:rPr>
                <w:rFonts w:ascii="Times New Roman" w:hAnsi="Times New Roman"/>
                <w:color w:val="000000"/>
                <w:sz w:val="24"/>
                <w:szCs w:val="24"/>
              </w:rPr>
              <w:t>publicznych i niepublicznych określony był, również w odniesieniu do uczelni medycznych</w:t>
            </w:r>
            <w:r w:rsidR="00992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92896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94 ust. 1 pkt </w:t>
            </w:r>
            <w:r w:rsidR="009928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92896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ustawy z dnia 27 lipca 2005 r. – Prawo o szkolnictwie </w:t>
            </w:r>
            <w:r w:rsidR="00992896">
              <w:rPr>
                <w:rFonts w:ascii="Times New Roman" w:hAnsi="Times New Roman"/>
                <w:color w:val="000000"/>
                <w:sz w:val="24"/>
                <w:szCs w:val="24"/>
              </w:rPr>
              <w:t>wyższym)</w:t>
            </w:r>
            <w:r w:rsidR="007B2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sposób </w:t>
            </w:r>
            <w:r w:rsidR="007B2A15" w:rsidRPr="00D0733D">
              <w:rPr>
                <w:rFonts w:ascii="Times New Roman" w:hAnsi="Times New Roman"/>
                <w:sz w:val="24"/>
                <w:szCs w:val="24"/>
              </w:rPr>
              <w:t xml:space="preserve">podziału środków finansowych na </w:t>
            </w:r>
            <w:r w:rsidR="007B2A15">
              <w:rPr>
                <w:rFonts w:ascii="Times New Roman" w:hAnsi="Times New Roman"/>
                <w:sz w:val="24"/>
                <w:szCs w:val="24"/>
              </w:rPr>
              <w:t xml:space="preserve">realizację zadań związanych z prowadzeniem podyplomowego kształcenia w celu zdobycia specjalizacji w wybranych zawodach medycznych,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proponuje się ujęcie w wydawanym rozporządzeniu sposobu podziału analogicznych środków fin</w:t>
            </w:r>
            <w:r w:rsidR="00A2210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7B2A15">
              <w:rPr>
                <w:rFonts w:ascii="Times New Roman" w:hAnsi="Times New Roman"/>
                <w:color w:val="000000"/>
                <w:sz w:val="24"/>
                <w:szCs w:val="24"/>
              </w:rPr>
              <w:t>nsowych (wymienionych w art. 459</w:t>
            </w:r>
            <w:r w:rsidR="00A22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pkt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2A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ustawy).</w:t>
            </w:r>
            <w:r w:rsidR="00D61FBB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92337F" w14:textId="644011C6" w:rsidR="003F2C72" w:rsidRPr="006756F1" w:rsidRDefault="00BC6418" w:rsidP="00EB005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Przy ustalaniu </w:t>
            </w:r>
            <w:r w:rsidR="003F2C72"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sposobu podziału środków finansowych na utrzymanie i rozwój potencjału dydaktycznego </w:t>
            </w:r>
            <w:r w:rsidR="00CC137A" w:rsidRPr="006756F1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="00611BDA" w:rsidRPr="006756F1">
              <w:rPr>
                <w:rFonts w:ascii="Times New Roman" w:hAnsi="Times New Roman"/>
                <w:spacing w:val="-2"/>
                <w:sz w:val="24"/>
                <w:szCs w:val="24"/>
              </w:rPr>
              <w:t>oraz</w:t>
            </w:r>
            <w:r w:rsidR="003F2C72"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potencjału badawczego dla uczelni</w:t>
            </w:r>
            <w:r w:rsidR="00D72B27"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92896"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medycznych </w:t>
            </w:r>
            <w:r w:rsidRPr="006756F1">
              <w:rPr>
                <w:rFonts w:ascii="Times New Roman" w:hAnsi="Times New Roman"/>
                <w:spacing w:val="-2"/>
                <w:sz w:val="24"/>
                <w:szCs w:val="24"/>
              </w:rPr>
              <w:t>proponuje się</w:t>
            </w:r>
            <w:r w:rsidR="00845077" w:rsidRPr="006756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przede wszystkim</w:t>
            </w:r>
            <w:r w:rsidR="00C02CF7" w:rsidRPr="006756F1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20CE7112" w14:textId="64FDC4B6" w:rsidR="00D875B4" w:rsidRDefault="00BC6418" w:rsidP="00EB005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318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wyodrębnianie z ww. środków finansowych części zasadniczej</w:t>
            </w:r>
            <w:r w:rsidR="001B5C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 części uzupełniającej</w:t>
            </w:r>
            <w:r w:rsidR="00AB1051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435DAE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dzięki </w:t>
            </w:r>
            <w:r w:rsidR="00A921A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czemu </w:t>
            </w:r>
            <w:r w:rsidR="00A4533E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zostaną </w:t>
            </w:r>
            <w:r w:rsidR="00461E0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zapewni</w:t>
            </w:r>
            <w:r w:rsidR="00A47458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one </w:t>
            </w:r>
            <w:r w:rsidR="00435DAE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środki finansowe</w:t>
            </w:r>
            <w:r w:rsidR="00926779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</w:t>
            </w:r>
            <w:r w:rsidR="00461E0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ewentualne </w:t>
            </w:r>
            <w:r w:rsidR="00926779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kor</w:t>
            </w:r>
            <w:r w:rsidR="005915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ekty, uzupełnienia i</w:t>
            </w:r>
            <w:r w:rsidR="001512B6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A2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zwiększenia wysokości subwencji, </w:t>
            </w:r>
            <w:r w:rsidR="00AB0C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8A27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 których mowa w </w:t>
            </w:r>
            <w:r w:rsidR="00926779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art. </w:t>
            </w:r>
            <w:r w:rsidR="00D875B4" w:rsidRPr="00CF7271">
              <w:rPr>
                <w:rFonts w:ascii="Times New Roman" w:hAnsi="Times New Roman"/>
                <w:sz w:val="24"/>
                <w:szCs w:val="24"/>
              </w:rPr>
              <w:t>36</w:t>
            </w:r>
            <w:r w:rsidR="00D875B4">
              <w:rPr>
                <w:rFonts w:ascii="Times New Roman" w:hAnsi="Times New Roman"/>
                <w:sz w:val="24"/>
                <w:szCs w:val="24"/>
              </w:rPr>
              <w:t>8</w:t>
            </w:r>
            <w:r w:rsidR="00D875B4" w:rsidRPr="00CF7271">
              <w:rPr>
                <w:rFonts w:ascii="Times New Roman" w:hAnsi="Times New Roman"/>
                <w:sz w:val="24"/>
                <w:szCs w:val="24"/>
              </w:rPr>
              <w:t xml:space="preserve"> ust. 8 pkt 1 i 2 </w:t>
            </w:r>
            <w:r w:rsidR="008A2797">
              <w:rPr>
                <w:rFonts w:ascii="Times New Roman" w:hAnsi="Times New Roman"/>
                <w:sz w:val="24"/>
                <w:szCs w:val="24"/>
              </w:rPr>
              <w:t>i</w:t>
            </w:r>
            <w:r w:rsidR="00D875B4" w:rsidRPr="00CF7271">
              <w:rPr>
                <w:rFonts w:ascii="Times New Roman" w:hAnsi="Times New Roman"/>
                <w:sz w:val="24"/>
                <w:szCs w:val="24"/>
              </w:rPr>
              <w:t xml:space="preserve"> ust. 9</w:t>
            </w:r>
            <w:r w:rsidR="008222AD">
              <w:rPr>
                <w:rFonts w:ascii="Times New Roman" w:hAnsi="Times New Roman"/>
                <w:sz w:val="24"/>
                <w:szCs w:val="24"/>
              </w:rPr>
              <w:t>;</w:t>
            </w:r>
            <w:r w:rsidR="00D875B4" w:rsidRPr="00D0733D" w:rsidDel="00D875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309AF659" w14:textId="68DCD4CF" w:rsidR="00AF7346" w:rsidRPr="00485E63" w:rsidRDefault="00D965D3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318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ograniczenie maksymalnego spadku i wzrostu wysokości subwencji z części zasadniczej</w:t>
            </w:r>
            <w:r w:rsidR="00166105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środków finansowych na utrzymanie i rozwój potencjału dydaktycznego </w:t>
            </w:r>
            <w:r w:rsidR="00F14A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</w:t>
            </w:r>
            <w:r w:rsidR="00166105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potencjału badawczego </w:t>
            </w:r>
            <w:r w:rsidR="005E45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przez zagwarantowanie, </w:t>
            </w:r>
            <w:r w:rsidR="00A16A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5E45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iż </w:t>
            </w:r>
            <w:r w:rsidR="00166105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wysokość ww. subwencji w danej uczelni</w:t>
            </w:r>
            <w:r w:rsidR="00D875B4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148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medycznej</w:t>
            </w:r>
            <w:r w:rsidR="00CF1F00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433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nadzorowanej przez ministra </w:t>
            </w:r>
            <w:r w:rsidR="00166105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</w:t>
            </w:r>
            <w:r w:rsidR="00CF1F00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będzie mogła</w:t>
            </w:r>
            <w:r w:rsidR="00166105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być niższa niż </w:t>
            </w:r>
            <w:r w:rsidR="008653EE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98</w:t>
            </w:r>
            <w:r w:rsidR="008B74A7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% i wyższa niż </w:t>
            </w:r>
            <w:r w:rsidR="008653EE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106</w:t>
            </w:r>
            <w:r w:rsidR="00166105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 wysokości tej subwencji z roku poprzedniego w warunkach porównywalnych</w:t>
            </w:r>
            <w:r w:rsidR="00453E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dzięki czemu </w:t>
            </w:r>
            <w:r w:rsidR="008C049E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uczelniom </w:t>
            </w:r>
            <w:r w:rsidR="003148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medycznym </w:t>
            </w:r>
            <w:r w:rsidR="00453E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zostanie zapewniona</w:t>
            </w:r>
            <w:r w:rsidR="00453EBB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53E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stabilność finansowa</w:t>
            </w:r>
            <w:r w:rsidR="00CF1F00" w:rsidRPr="00485E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43E97957" w14:textId="1199503B" w:rsidR="008B26F3" w:rsidRPr="00D0733D" w:rsidRDefault="00504223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318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powiązanie ograniczenia maksymalnego spadku lub wzrostu wysokości subwencji ze środków finansowych na utrzymanie i rozwój potencjału dydaktycznego </w:t>
            </w:r>
            <w:r w:rsidR="009211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oraz potencjału badawczego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kroczącym zmniejszaniem stałej przeniesienia</w:t>
            </w:r>
            <w:r w:rsidR="00384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ponieważ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ideą wprowadzonych zmian jest, aby stopniowo jak największa część środków otrzymywanych przez </w:t>
            </w:r>
            <w:r w:rsidR="003241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te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uczelnie </w:t>
            </w:r>
            <w:r w:rsidR="0032419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była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uzależniona od działań podejmowanych na bieżąco przez władze uczelni; </w:t>
            </w:r>
          </w:p>
          <w:p w14:paraId="4488ABD1" w14:textId="051BA9E5" w:rsidR="00A002A7" w:rsidRPr="00A002A7" w:rsidRDefault="00D22A62" w:rsidP="00921D9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zabezpieczenie </w:t>
            </w:r>
            <w:r w:rsidR="00D875B4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2019 </w:t>
            </w:r>
            <w:r w:rsidR="00090A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r. </w:t>
            </w:r>
            <w:r w:rsidR="00D875B4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realnego wzrostu minimalnych wynagrodzeń zasadniczych</w:t>
            </w:r>
            <w:r w:rsidR="00DE6E6C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dla nauczycieli akademickich </w:t>
            </w:r>
            <w:r w:rsidR="00D875B4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przez niedopuszczenie do </w:t>
            </w:r>
            <w:r w:rsidR="00C8539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istotnego </w:t>
            </w:r>
            <w:r w:rsidR="00D875B4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spadku </w:t>
            </w:r>
            <w:r w:rsidR="00DE6E6C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wysokości </w:t>
            </w:r>
            <w:r w:rsidR="00D875B4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subwencji w stosunku do sumy dotacji przyznanych </w:t>
            </w:r>
            <w:r w:rsidR="00662EC8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</w:t>
            </w:r>
            <w:r w:rsidR="00DE6E6C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2018 </w:t>
            </w:r>
            <w:r w:rsidR="00090A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r. </w:t>
            </w:r>
            <w:r w:rsidR="00DE6E6C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podstawie dotychczasowych przepisów</w:t>
            </w:r>
            <w:r w:rsidR="00EA2FEB" w:rsidRPr="00A002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14:paraId="530E13E9" w14:textId="11516F97" w:rsidR="001913CC" w:rsidRPr="00263999" w:rsidRDefault="008E56BB" w:rsidP="00921D9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</w:t>
            </w:r>
            <w:r w:rsidR="00EA2F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algorytmi</w:t>
            </w:r>
            <w:r w:rsidR="00662EC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 </w:t>
            </w:r>
            <w:r w:rsidR="006758E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podziału środków finansowych </w:t>
            </w:r>
            <w:r w:rsidR="00662EC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dla </w:t>
            </w:r>
            <w:r w:rsidR="003148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uczelni medycznych </w:t>
            </w:r>
            <w:r w:rsidR="0079723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proponuje się wyodrębnienie składników: studenckiego, kadrowego, umiędzynarodowienia, badawczego, dokto</w:t>
            </w:r>
            <w:r w:rsidR="00F95C6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ranckiego, </w:t>
            </w:r>
            <w:r w:rsidR="0079723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badawczo-rozwojowego i projektowego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, </w:t>
            </w:r>
            <w:r w:rsidR="00C723E2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których wagi </w:t>
            </w:r>
            <w:r w:rsidR="003148D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 kolejnych latach (do 2024</w:t>
            </w:r>
            <w:r w:rsidR="00090A3A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r.</w:t>
            </w:r>
            <w:r w:rsidR="003148D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) </w:t>
            </w:r>
            <w:r w:rsidR="009A040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będą miały wartości </w:t>
            </w:r>
            <w:r w:rsidR="0026399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odzwierciedlające stopniowy spadek udziału składników dotyczących liczby studentów i kadry akademickiej na rzecz składników opisujących aktywność naukowo-badawczą uczelni medycznej. </w:t>
            </w:r>
          </w:p>
          <w:p w14:paraId="5E1EA5A3" w14:textId="72EADCDF" w:rsidR="00464BE7" w:rsidRPr="006A6A54" w:rsidRDefault="006756F1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Proponuje się aby 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składnik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="00824E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95928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algorytmu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jmowa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ły 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analogiczn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wynikających z dotychczasowych przepisów, z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niezbędnymi </w:t>
            </w:r>
            <w:r w:rsidR="00097D35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modyfikacjami wynikającymi w większości ze zmian systemowych</w:t>
            </w:r>
            <w:r w:rsidR="00037FBF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m.in.</w:t>
            </w:r>
            <w:r w:rsidR="008B251D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ramach</w:t>
            </w:r>
            <w:r w:rsidR="00037FBF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14:paraId="58C54FCE" w14:textId="6B5FE1C4" w:rsidR="004D42DE" w:rsidRDefault="00336986" w:rsidP="00EB005A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składnika studenckiego</w:t>
            </w:r>
            <w:r w:rsidR="00F42F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proponuje się ujmowanie </w:t>
            </w:r>
            <w:r w:rsidR="00621D07" w:rsidRP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liczby studentów studiów stacjonarnych </w:t>
            </w:r>
            <w:r w:rsid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621D07" w:rsidRP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(z wyłączeniem cudzoziemców) ważonych kosztochłonnością prowadzenia kształcenia na studiach stacjonarnych na </w:t>
            </w:r>
            <w:r w:rsidR="009464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</w:t>
            </w:r>
            <w:r w:rsidR="00621D07" w:rsidRP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ym kierunku, poziomie i profilu, prowadzonych w danej uczelni </w:t>
            </w:r>
            <w:r w:rsidR="0026399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medycznej</w:t>
            </w:r>
            <w:r w:rsidR="004765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nadzorowanej przez ministra</w:t>
            </w:r>
            <w:r w:rsid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jak również</w:t>
            </w:r>
            <w:r w:rsidR="00621D07" w:rsidRP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pozostawienie projakościowego mechanizmu korygującego </w:t>
            </w:r>
            <w:r w:rsidR="00E015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621D07" w:rsidRPr="00621D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ww. składnik, tj. wsk</w:t>
            </w:r>
            <w:r w:rsidR="004765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aźnika dostępności dydaktycznej</w:t>
            </w:r>
            <w:r w:rsidR="004D42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="004D42DE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latach 2019–2023 </w:t>
            </w:r>
            <w:r w:rsidR="004D42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proponuje się</w:t>
            </w:r>
            <w:r w:rsidR="004D42DE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ujmowanie liczby doktorantów, którzy rozpoczęli studia doktoranckie przed rokiem akademickim 2019/2020</w:t>
            </w:r>
            <w:r w:rsidR="004D42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);</w:t>
            </w:r>
            <w:r w:rsidR="004D42DE" w:rsidRPr="009440A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249379C3" w14:textId="441D01EC" w:rsidR="00570E30" w:rsidRPr="009D1416" w:rsidRDefault="002716AF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23C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składnika kadrowego</w:t>
            </w:r>
            <w:r w:rsidR="007C4B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proponuje się </w:t>
            </w:r>
            <w:r w:rsidR="005356D7">
              <w:rPr>
                <w:rFonts w:ascii="Times New Roman" w:hAnsi="Times New Roman"/>
                <w:sz w:val="24"/>
                <w:szCs w:val="24"/>
              </w:rPr>
              <w:t>rezygnację</w:t>
            </w:r>
            <w:r w:rsidR="00693DB6">
              <w:rPr>
                <w:rFonts w:ascii="Times New Roman" w:hAnsi="Times New Roman"/>
                <w:sz w:val="24"/>
                <w:szCs w:val="24"/>
              </w:rPr>
              <w:t>, począwszy od 20</w:t>
            </w:r>
            <w:r w:rsidR="009D1416">
              <w:rPr>
                <w:rFonts w:ascii="Times New Roman" w:hAnsi="Times New Roman"/>
                <w:sz w:val="24"/>
                <w:szCs w:val="24"/>
              </w:rPr>
              <w:t>19</w:t>
            </w:r>
            <w:r w:rsidR="00090A3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693DB6">
              <w:rPr>
                <w:rFonts w:ascii="Times New Roman" w:hAnsi="Times New Roman"/>
                <w:sz w:val="24"/>
                <w:szCs w:val="24"/>
              </w:rPr>
              <w:t>,</w:t>
            </w:r>
            <w:r w:rsidR="005356D7" w:rsidRPr="005339EC">
              <w:rPr>
                <w:rFonts w:ascii="Times New Roman" w:hAnsi="Times New Roman"/>
                <w:sz w:val="24"/>
                <w:szCs w:val="24"/>
              </w:rPr>
              <w:t xml:space="preserve"> z rozróżniania podstawowego </w:t>
            </w:r>
            <w:r w:rsidR="00693DB6">
              <w:rPr>
                <w:rFonts w:ascii="Times New Roman" w:hAnsi="Times New Roman"/>
                <w:sz w:val="24"/>
                <w:szCs w:val="24"/>
              </w:rPr>
              <w:br/>
            </w:r>
            <w:r w:rsidR="005356D7" w:rsidRPr="005339E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5356D7" w:rsidRPr="005339EC">
              <w:rPr>
                <w:rFonts w:ascii="Times New Roman" w:hAnsi="Times New Roman"/>
                <w:sz w:val="24"/>
                <w:szCs w:val="24"/>
              </w:rPr>
              <w:t>niepodstawowego</w:t>
            </w:r>
            <w:proofErr w:type="spellEnd"/>
            <w:r w:rsidR="005356D7" w:rsidRPr="005339EC">
              <w:rPr>
                <w:rFonts w:ascii="Times New Roman" w:hAnsi="Times New Roman"/>
                <w:sz w:val="24"/>
                <w:szCs w:val="24"/>
              </w:rPr>
              <w:t xml:space="preserve"> miejsca pracy nauczyciela akademickieg</w:t>
            </w:r>
            <w:r w:rsidR="005356D7">
              <w:rPr>
                <w:rFonts w:ascii="Times New Roman" w:hAnsi="Times New Roman"/>
                <w:sz w:val="24"/>
                <w:szCs w:val="24"/>
              </w:rPr>
              <w:t xml:space="preserve">o przy </w:t>
            </w:r>
            <w:r w:rsidR="005356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uwzględnieniu</w:t>
            </w:r>
            <w:r w:rsidR="007C4B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D14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(od 2020</w:t>
            </w:r>
            <w:r w:rsidR="00090A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</w:t>
            </w:r>
            <w:r w:rsidR="009D14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</w:t>
            </w:r>
            <w:r w:rsidR="005339EC" w:rsidRPr="005339EC">
              <w:rPr>
                <w:rFonts w:ascii="Times New Roman" w:hAnsi="Times New Roman"/>
                <w:sz w:val="24"/>
                <w:szCs w:val="24"/>
              </w:rPr>
              <w:t xml:space="preserve">przeciętnej liczby nauczycieli akademickich (w przeliczeniu na pełne etaty) zatrudnionych na </w:t>
            </w:r>
            <w:r w:rsidR="00D24664">
              <w:rPr>
                <w:rFonts w:ascii="Times New Roman" w:hAnsi="Times New Roman"/>
                <w:sz w:val="24"/>
                <w:szCs w:val="24"/>
              </w:rPr>
              <w:t>stanowiskach: profesora, profesora uczelni</w:t>
            </w:r>
            <w:r w:rsidR="005339EC" w:rsidRPr="005339EC">
              <w:rPr>
                <w:rFonts w:ascii="Times New Roman" w:hAnsi="Times New Roman"/>
                <w:sz w:val="24"/>
                <w:szCs w:val="24"/>
              </w:rPr>
              <w:t>, adiunkta</w:t>
            </w:r>
            <w:r w:rsidR="00D2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9EC" w:rsidRPr="005339EC">
              <w:rPr>
                <w:rFonts w:ascii="Times New Roman" w:hAnsi="Times New Roman"/>
                <w:sz w:val="24"/>
                <w:szCs w:val="24"/>
              </w:rPr>
              <w:t>oraz pozostałych (tj. asystenta oraz stanowiskach niewymienionych w ustawie, które uczelnia utworzy</w:t>
            </w:r>
            <w:r w:rsidR="00D24664">
              <w:rPr>
                <w:rFonts w:ascii="Times New Roman" w:hAnsi="Times New Roman"/>
                <w:sz w:val="24"/>
                <w:szCs w:val="24"/>
              </w:rPr>
              <w:t xml:space="preserve"> na podstawie statutu</w:t>
            </w:r>
            <w:r w:rsidR="005356D7">
              <w:rPr>
                <w:rFonts w:ascii="Times New Roman" w:hAnsi="Times New Roman"/>
                <w:sz w:val="24"/>
                <w:szCs w:val="24"/>
              </w:rPr>
              <w:t>)</w:t>
            </w:r>
            <w:r w:rsidR="001A4F2D">
              <w:rPr>
                <w:rFonts w:ascii="Times New Roman" w:hAnsi="Times New Roman"/>
                <w:sz w:val="24"/>
                <w:szCs w:val="24"/>
              </w:rPr>
              <w:t>, z zastosowaniem zróżnicowanych wag</w:t>
            </w:r>
            <w:r w:rsidR="00570E30">
              <w:rPr>
                <w:rFonts w:ascii="Times New Roman" w:hAnsi="Times New Roman"/>
                <w:sz w:val="24"/>
                <w:szCs w:val="24"/>
              </w:rPr>
              <w:t xml:space="preserve"> – dzięki czemu </w:t>
            </w:r>
            <w:r w:rsidR="00570E30" w:rsidRPr="005339EC">
              <w:rPr>
                <w:rFonts w:ascii="Times New Roman" w:hAnsi="Times New Roman"/>
                <w:sz w:val="24"/>
                <w:szCs w:val="24"/>
              </w:rPr>
              <w:t xml:space="preserve">będzie możliwe faktyczne uwzględnienie zatrudnionej kadry i ponoszonych przez uczelnię </w:t>
            </w:r>
            <w:r w:rsidR="006756F1">
              <w:rPr>
                <w:rFonts w:ascii="Times New Roman" w:hAnsi="Times New Roman"/>
                <w:sz w:val="24"/>
                <w:szCs w:val="24"/>
              </w:rPr>
              <w:t xml:space="preserve">medyczną </w:t>
            </w:r>
            <w:r w:rsidR="00570E30" w:rsidRPr="005339EC">
              <w:rPr>
                <w:rFonts w:ascii="Times New Roman" w:hAnsi="Times New Roman"/>
                <w:sz w:val="24"/>
                <w:szCs w:val="24"/>
              </w:rPr>
              <w:t xml:space="preserve">kosztów związanych z </w:t>
            </w:r>
            <w:r w:rsidR="0094641E">
              <w:rPr>
                <w:rFonts w:ascii="Times New Roman" w:hAnsi="Times New Roman"/>
                <w:sz w:val="24"/>
                <w:szCs w:val="24"/>
              </w:rPr>
              <w:t>jej</w:t>
            </w:r>
            <w:r w:rsidR="00570E30" w:rsidRPr="005339EC">
              <w:rPr>
                <w:rFonts w:ascii="Times New Roman" w:hAnsi="Times New Roman"/>
                <w:sz w:val="24"/>
                <w:szCs w:val="24"/>
              </w:rPr>
              <w:t xml:space="preserve"> zatrudnieniem</w:t>
            </w:r>
            <w:r w:rsidR="00EB2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B30535" w14:textId="77777777" w:rsidR="00AC4A60" w:rsidRDefault="00BF37EE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składnika </w:t>
            </w:r>
            <w:r w:rsidR="00AC4A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umiędzynarodowienia proponuje się pozostawienie rozwiązań analogicznych do dotychczasowych (w latach 2019–2023 w ramach omawianego składnika będą uwzględniani również doktoranci będący cudzoziemcami, którzy rozpoczęli studia doktoranckie przed rokiem akademickim 2019–2020);</w:t>
            </w:r>
          </w:p>
          <w:p w14:paraId="16DB9427" w14:textId="2432DF08" w:rsidR="00B023B7" w:rsidRPr="00813C4C" w:rsidRDefault="000263BE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składnika badawczego proponuje się </w:t>
            </w:r>
            <w:r>
              <w:rPr>
                <w:rFonts w:ascii="Times New Roman" w:hAnsi="Times New Roman"/>
                <w:sz w:val="24"/>
                <w:szCs w:val="24"/>
              </w:rPr>
              <w:t>rezygnację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 xml:space="preserve"> z uwzględniania liczby projektów w</w:t>
            </w:r>
            <w:r w:rsidRPr="00026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641E">
              <w:rPr>
                <w:rFonts w:ascii="Times New Roman" w:hAnsi="Times New Roman"/>
                <w:sz w:val="24"/>
                <w:szCs w:val="24"/>
              </w:rPr>
              <w:t>danej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 xml:space="preserve"> uczelni </w:t>
            </w:r>
            <w:r w:rsidR="00C43898">
              <w:rPr>
                <w:rFonts w:ascii="Times New Roman" w:hAnsi="Times New Roman"/>
                <w:sz w:val="24"/>
                <w:szCs w:val="24"/>
              </w:rPr>
              <w:t>medycznej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898">
              <w:rPr>
                <w:rFonts w:ascii="Times New Roman" w:hAnsi="Times New Roman"/>
                <w:sz w:val="24"/>
                <w:szCs w:val="24"/>
              </w:rPr>
              <w:t xml:space="preserve">(uwzględnione będą w składniku projektowym)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nadzorowanej przez ministra na rzecz 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>liczby pracowników prowadzących działalność naukową, którzy złożyli oświadczenie</w:t>
            </w:r>
            <w:r w:rsidRPr="000263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o którym mowa w art. 265 ust. 5 ustawy, oraz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018">
              <w:rPr>
                <w:rFonts w:ascii="Times New Roman" w:hAnsi="Times New Roman"/>
                <w:sz w:val="24"/>
                <w:szCs w:val="24"/>
              </w:rPr>
              <w:t>współczynników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 xml:space="preserve"> kosztochłonności prowadzenia działalności naukowej w danej dyscyplinie naukow</w:t>
            </w:r>
            <w:r w:rsidR="0035438B">
              <w:rPr>
                <w:rFonts w:ascii="Times New Roman" w:hAnsi="Times New Roman"/>
                <w:sz w:val="24"/>
                <w:szCs w:val="24"/>
              </w:rPr>
              <w:t>ej</w:t>
            </w:r>
            <w:r w:rsidR="00351B59">
              <w:rPr>
                <w:rFonts w:ascii="Times New Roman" w:hAnsi="Times New Roman"/>
                <w:sz w:val="24"/>
                <w:szCs w:val="24"/>
              </w:rPr>
              <w:t>, określonych</w:t>
            </w:r>
            <w:r w:rsidRPr="000263BE">
              <w:rPr>
                <w:rFonts w:ascii="Times New Roman" w:hAnsi="Times New Roman"/>
                <w:sz w:val="24"/>
                <w:szCs w:val="24"/>
              </w:rPr>
              <w:t xml:space="preserve"> w przepisach wydanych na podstawie art. 367 ust. 2</w:t>
            </w:r>
            <w:r w:rsidR="00B023B7">
              <w:rPr>
                <w:rFonts w:ascii="Times New Roman" w:hAnsi="Times New Roman"/>
                <w:sz w:val="24"/>
                <w:szCs w:val="24"/>
              </w:rPr>
              <w:t xml:space="preserve"> ustawy, jak również – w ramach elementu 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 xml:space="preserve">wzoru </w:t>
            </w:r>
            <w:proofErr w:type="spellStart"/>
            <w:r w:rsidRPr="00B023B7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B023B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j</w:t>
            </w:r>
            <w:proofErr w:type="spellEnd"/>
            <w:r w:rsidRPr="00B023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>– uwzględnianie wartości przypisanych dyscy</w:t>
            </w:r>
            <w:r w:rsidR="0035438B">
              <w:rPr>
                <w:rFonts w:ascii="Times New Roman" w:hAnsi="Times New Roman"/>
                <w:sz w:val="24"/>
                <w:szCs w:val="24"/>
              </w:rPr>
              <w:t>plinom naukowym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 xml:space="preserve">, w których uczelnia </w:t>
            </w:r>
            <w:r w:rsidR="0035438B">
              <w:rPr>
                <w:rFonts w:ascii="Times New Roman" w:hAnsi="Times New Roman"/>
                <w:sz w:val="24"/>
                <w:szCs w:val="24"/>
              </w:rPr>
              <w:t>medyczna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3B7">
              <w:rPr>
                <w:rFonts w:ascii="Times New Roman" w:hAnsi="Times New Roman"/>
                <w:sz w:val="24"/>
                <w:szCs w:val="24"/>
              </w:rPr>
              <w:t xml:space="preserve">nadzorowana przez ministra 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 xml:space="preserve">posiada kategorię naukową: A+, B+ </w:t>
            </w:r>
            <w:r w:rsidR="00036263">
              <w:rPr>
                <w:rFonts w:ascii="Times New Roman" w:hAnsi="Times New Roman"/>
                <w:sz w:val="24"/>
                <w:szCs w:val="24"/>
              </w:rPr>
              <w:t>i B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63">
              <w:rPr>
                <w:rFonts w:ascii="Times New Roman" w:hAnsi="Times New Roman"/>
                <w:sz w:val="24"/>
                <w:szCs w:val="24"/>
              </w:rPr>
              <w:t>(z</w:t>
            </w:r>
            <w:r w:rsidRPr="00B023B7">
              <w:rPr>
                <w:rFonts w:ascii="Times New Roman" w:hAnsi="Times New Roman"/>
                <w:sz w:val="24"/>
                <w:szCs w:val="24"/>
              </w:rPr>
              <w:t>rezygn</w:t>
            </w:r>
            <w:r w:rsidR="00036263">
              <w:rPr>
                <w:rFonts w:ascii="Times New Roman" w:hAnsi="Times New Roman"/>
                <w:sz w:val="24"/>
                <w:szCs w:val="24"/>
              </w:rPr>
              <w:t>owano</w:t>
            </w:r>
            <w:r w:rsidR="00AB0CE0">
              <w:rPr>
                <w:rFonts w:ascii="Times New Roman" w:hAnsi="Times New Roman"/>
                <w:sz w:val="24"/>
                <w:szCs w:val="24"/>
              </w:rPr>
              <w:br/>
            </w:r>
            <w:r w:rsidRPr="00B023B7">
              <w:rPr>
                <w:rFonts w:ascii="Times New Roman" w:hAnsi="Times New Roman"/>
                <w:sz w:val="24"/>
                <w:szCs w:val="24"/>
              </w:rPr>
              <w:t>z uwzględniania najniższej kategorii naukowej C</w:t>
            </w:r>
            <w:r w:rsidR="00036263">
              <w:rPr>
                <w:rFonts w:ascii="Times New Roman" w:hAnsi="Times New Roman"/>
                <w:sz w:val="24"/>
                <w:szCs w:val="24"/>
              </w:rPr>
              <w:t>)</w:t>
            </w:r>
            <w:r w:rsidR="00813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CF641A" w14:textId="4EA30960" w:rsidR="00504D52" w:rsidRPr="00AB0EF7" w:rsidRDefault="00504D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składnika doktoranckiego</w:t>
            </w:r>
            <w:r w:rsidR="00AB0E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proponuje się </w:t>
            </w:r>
            <w:r w:rsidRPr="00AB0EF7">
              <w:rPr>
                <w:rFonts w:ascii="Times New Roman" w:hAnsi="Times New Roman"/>
                <w:sz w:val="24"/>
                <w:szCs w:val="24"/>
              </w:rPr>
              <w:t xml:space="preserve">branie pod uwagę przede wszystkim liczby doktorantów w szkole doktorskiej, ważonej – z racji celów i misji szkół doktorskich – średnimi współczynnikami kosztochłonności prowadzenia działalności naukowej w </w:t>
            </w:r>
            <w:r w:rsidR="00681214" w:rsidRPr="00681214">
              <w:rPr>
                <w:rFonts w:ascii="Times New Roman" w:hAnsi="Times New Roman"/>
                <w:sz w:val="24"/>
                <w:szCs w:val="24"/>
              </w:rPr>
              <w:t>poszc</w:t>
            </w:r>
            <w:r w:rsidR="00681214">
              <w:rPr>
                <w:rFonts w:ascii="Times New Roman" w:hAnsi="Times New Roman"/>
                <w:sz w:val="24"/>
                <w:szCs w:val="24"/>
              </w:rPr>
              <w:t>z</w:t>
            </w:r>
            <w:r w:rsidR="00681214" w:rsidRPr="00681214">
              <w:rPr>
                <w:rFonts w:ascii="Times New Roman" w:hAnsi="Times New Roman"/>
                <w:sz w:val="24"/>
                <w:szCs w:val="24"/>
              </w:rPr>
              <w:t>ególnych</w:t>
            </w:r>
            <w:r w:rsidRPr="00AB0EF7">
              <w:rPr>
                <w:rFonts w:ascii="Times New Roman" w:hAnsi="Times New Roman"/>
                <w:sz w:val="24"/>
                <w:szCs w:val="24"/>
              </w:rPr>
              <w:t xml:space="preserve"> dyscyplinach naukowych, </w:t>
            </w:r>
            <w:r w:rsidR="00AB0CE0">
              <w:rPr>
                <w:rFonts w:ascii="Times New Roman" w:hAnsi="Times New Roman"/>
                <w:sz w:val="24"/>
                <w:szCs w:val="24"/>
              </w:rPr>
              <w:br/>
            </w:r>
            <w:r w:rsidRPr="00AB0EF7">
              <w:rPr>
                <w:rFonts w:ascii="Times New Roman" w:hAnsi="Times New Roman"/>
                <w:sz w:val="24"/>
                <w:szCs w:val="24"/>
              </w:rPr>
              <w:t>w których jest prowadzone kształcenie w szkole doktorskiej</w:t>
            </w:r>
            <w:r w:rsidR="00C438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FFB4F" w14:textId="2ED72D11" w:rsidR="00CF7A3B" w:rsidRPr="006275ED" w:rsidRDefault="001A4613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składnika badawczo-rozwojowego proponuje się </w:t>
            </w:r>
            <w:r w:rsidR="006275ED" w:rsidRPr="006275ED">
              <w:rPr>
                <w:rFonts w:ascii="Times New Roman" w:hAnsi="Times New Roman"/>
                <w:sz w:val="24"/>
                <w:szCs w:val="24"/>
              </w:rPr>
              <w:t xml:space="preserve">uwzględnianie wysokości nakładów wewnętrznych poniesionych </w:t>
            </w:r>
            <w:r w:rsidR="00C43898">
              <w:rPr>
                <w:rFonts w:ascii="Times New Roman" w:hAnsi="Times New Roman"/>
                <w:sz w:val="24"/>
                <w:szCs w:val="24"/>
              </w:rPr>
              <w:t>przez u</w:t>
            </w:r>
            <w:r w:rsidR="006275ED" w:rsidRPr="006275ED">
              <w:rPr>
                <w:rFonts w:ascii="Times New Roman" w:hAnsi="Times New Roman"/>
                <w:sz w:val="24"/>
                <w:szCs w:val="24"/>
              </w:rPr>
              <w:t>czelni</w:t>
            </w:r>
            <w:r w:rsidR="00C43898">
              <w:rPr>
                <w:rFonts w:ascii="Times New Roman" w:hAnsi="Times New Roman"/>
                <w:sz w:val="24"/>
                <w:szCs w:val="24"/>
              </w:rPr>
              <w:t>ę</w:t>
            </w:r>
            <w:r w:rsidR="006275ED" w:rsidRPr="0062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8B">
              <w:rPr>
                <w:rFonts w:ascii="Times New Roman" w:hAnsi="Times New Roman"/>
                <w:sz w:val="24"/>
                <w:szCs w:val="24"/>
              </w:rPr>
              <w:t>medyczn</w:t>
            </w:r>
            <w:r w:rsidR="00C43898">
              <w:rPr>
                <w:rFonts w:ascii="Times New Roman" w:hAnsi="Times New Roman"/>
                <w:sz w:val="24"/>
                <w:szCs w:val="24"/>
              </w:rPr>
              <w:t>ą</w:t>
            </w:r>
            <w:r w:rsidR="006275ED" w:rsidRPr="006275ED">
              <w:rPr>
                <w:rFonts w:ascii="Times New Roman" w:hAnsi="Times New Roman"/>
                <w:sz w:val="24"/>
                <w:szCs w:val="24"/>
              </w:rPr>
              <w:t xml:space="preserve"> na działalność badawczo-rozwojową, wykazanych w PNT-01/s – Sprawozdaniu o działalności badawczej i rozwojowej (B + R) w szkołach wyższych składan</w:t>
            </w:r>
            <w:r w:rsidR="00C43898">
              <w:rPr>
                <w:rFonts w:ascii="Times New Roman" w:hAnsi="Times New Roman"/>
                <w:sz w:val="24"/>
                <w:szCs w:val="24"/>
              </w:rPr>
              <w:t xml:space="preserve">e są przez uczelnie medyczne </w:t>
            </w:r>
            <w:r w:rsidR="006275ED" w:rsidRPr="006275ED">
              <w:rPr>
                <w:rFonts w:ascii="Times New Roman" w:hAnsi="Times New Roman"/>
                <w:sz w:val="24"/>
                <w:szCs w:val="24"/>
              </w:rPr>
              <w:t>w roku poprzedzającym rok przyznania subwencji</w:t>
            </w:r>
            <w:r w:rsidR="006275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98D294" w14:textId="3ADF2DDC" w:rsidR="006275ED" w:rsidRPr="0092783F" w:rsidRDefault="006275ED" w:rsidP="00921D9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88" w:hanging="42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składnika projektowego proponuje się 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uwzględnian</w:t>
            </w:r>
            <w:r w:rsidR="007163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ie projektów badawczych (krajowych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163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 zagranicznych</w:t>
            </w:r>
            <w:r w:rsidR="003543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 realizowanych przez uczelnie medyczne samodzielnie lub w ramach konsorcjum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543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 w przypadku programów </w:t>
            </w:r>
            <w:r w:rsidR="007034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europejskich</w:t>
            </w:r>
            <w:r w:rsidR="003543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wyodrębniono podział na 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lidera </w:t>
            </w:r>
            <w:r w:rsidR="003543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lub 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konsorcjanta projektu w ramach projektów realizowanych w program</w:t>
            </w:r>
            <w:r w:rsidR="007034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ach </w:t>
            </w:r>
            <w:r w:rsidR="0071630A" w:rsidRPr="009278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„HORYZONT 2020”</w:t>
            </w:r>
            <w:r w:rsidR="007034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lub „HORYZONT EUROPA</w:t>
            </w:r>
            <w:r w:rsidR="00A011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32EEA14B" w14:textId="67CFA3F5" w:rsidR="00E31E17" w:rsidRPr="001A3980" w:rsidRDefault="00304952" w:rsidP="00921D9B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39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odniesieniu do sposobu podziału środków finansowych </w:t>
            </w:r>
            <w:r w:rsidR="002F05F9" w:rsidRPr="001A39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dla uczelni </w:t>
            </w:r>
            <w:r w:rsidR="00C43898" w:rsidRPr="001A39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medycznych na realizację zadań związanych z prowadzeniem kształcenia podyplomowego celem zdobycia tytułu specjalisty przez lekarzy, lekarzy dentystów, farmaceutów, pielęgniarki i położne oraz przez diagnostów laboratoryjnych zakłada się, że podział ten będzie przeprowadzany wg algorytmu obowiązującego </w:t>
            </w:r>
            <w:r w:rsidR="001A3980" w:rsidRPr="001A3980">
              <w:rPr>
                <w:rFonts w:ascii="Times New Roman" w:hAnsi="Times New Roman"/>
                <w:spacing w:val="-2"/>
                <w:sz w:val="24"/>
                <w:szCs w:val="24"/>
              </w:rPr>
              <w:t>do 2018</w:t>
            </w:r>
            <w:r w:rsidR="00090A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</w:t>
            </w:r>
            <w:r w:rsidR="001A3980" w:rsidRPr="001A398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07AE8866" w14:textId="69CEF664" w:rsidR="00E31E17" w:rsidRPr="00D0733D" w:rsidRDefault="00CD1187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Oczekuje się, że zaprojektowan</w:t>
            </w:r>
            <w:r w:rsidR="00213A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13A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rozwiązania w zakresie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spos</w:t>
            </w:r>
            <w:r w:rsidR="00213A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="00213A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podziału</w:t>
            </w:r>
            <w:r w:rsidR="00451C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ww. środków finansowych wpłyną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pozytywnie na poprawę jakości kształcenia lub prowadzenia działalności naukowej w podmiot</w:t>
            </w:r>
            <w:r w:rsidR="006D0D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ach uprawnionych do otrzymania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ww. subwencji lub dotacji.</w:t>
            </w:r>
            <w:r w:rsidR="00E31E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Jednocześnie z uwagi na konieczność dostosowania proponowanych </w:t>
            </w:r>
            <w:r w:rsidR="006D0D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E31E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projektowanym rozporządzeniu rozwiązań do zmian wprowadzonych w systemie szkolnictwa wyższego i nauki, w tym w szczególności w zakresie finansowania podmiotów tworzących ww. system, projekt określa szereg przepisów epizodycznych, zapewniających sprawny podział środków finansowych w latach 2019–2023, przy zachowaniu uprawnień tych podmiotów wynikających z ustawy.</w:t>
            </w:r>
          </w:p>
        </w:tc>
      </w:tr>
      <w:tr w:rsidR="006A701A" w:rsidRPr="00D0733D" w14:paraId="73E8706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BC8933" w14:textId="77777777" w:rsidR="006A701A" w:rsidRPr="00D0733D" w:rsidRDefault="009E3C4B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D07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D0733D" w14:paraId="4D5E70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72CD119" w14:textId="77777777" w:rsidR="00FA6B3A" w:rsidRPr="00D0733D" w:rsidRDefault="007E5C52" w:rsidP="00921D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6A701A" w:rsidRPr="00D0733D" w14:paraId="1CAE271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FD262C" w14:textId="77777777" w:rsidR="006A701A" w:rsidRPr="00D0733D" w:rsidRDefault="006A701A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D0733D" w14:paraId="0223C03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01EBE00" w14:textId="77777777" w:rsidR="00260F33" w:rsidRPr="00D0733D" w:rsidRDefault="00260F33" w:rsidP="00921D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6BF0A0" w14:textId="77777777" w:rsidR="00260F33" w:rsidRPr="00D0733D" w:rsidRDefault="00563199" w:rsidP="00921D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5FAEFCF" w14:textId="77777777" w:rsidR="00260F33" w:rsidRPr="00D0733D" w:rsidRDefault="00260F33" w:rsidP="00921D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D0733D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6CEAF31" w14:textId="77777777" w:rsidR="00260F33" w:rsidRPr="00D0733D" w:rsidRDefault="00260F33" w:rsidP="00921D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02526D" w:rsidRPr="00D0733D" w14:paraId="773901C9" w14:textId="77777777" w:rsidTr="009144FC">
        <w:trPr>
          <w:gridAfter w:val="1"/>
          <w:wAfter w:w="10" w:type="dxa"/>
          <w:trHeight w:val="841"/>
        </w:trPr>
        <w:tc>
          <w:tcPr>
            <w:tcW w:w="2668" w:type="dxa"/>
            <w:gridSpan w:val="3"/>
            <w:shd w:val="clear" w:color="auto" w:fill="auto"/>
          </w:tcPr>
          <w:p w14:paraId="309200E2" w14:textId="12322180" w:rsidR="0002526D" w:rsidRPr="00D0733D" w:rsidRDefault="0003676C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Uczelnie medyczne</w:t>
            </w:r>
            <w:r w:rsidR="0002526D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C389E17" w14:textId="7627D3EC" w:rsidR="0002526D" w:rsidRPr="00D0733D" w:rsidRDefault="00D22440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EA3B05" w14:textId="3F72955E" w:rsidR="0002526D" w:rsidRDefault="000367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Uczelnie medyczne i </w:t>
            </w:r>
            <w:r w:rsidR="0002526D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Zintegrowany System Informacji o Nauce </w:t>
            </w:r>
            <w:r w:rsidR="0002526D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i Szkolnictwie Wyższym </w:t>
            </w:r>
            <w:r w:rsidR="0002526D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„POL-on”</w:t>
            </w:r>
          </w:p>
          <w:p w14:paraId="1843E6B5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9F166A0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5D7E62A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11BF1FE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7FBBE4D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CEB6FD4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32DD314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A2C4498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74398F9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5C30225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B37DDD9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A07FBB7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83C6FCF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BA535B4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A27080F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371D088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F86852F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B4BB486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3A09973" w14:textId="77777777" w:rsidR="0002526D" w:rsidRDefault="000252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6D9D201" w14:textId="77777777" w:rsidR="0002526D" w:rsidRDefault="000252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315CDD8" w14:textId="37CBD6C9" w:rsidR="0002526D" w:rsidRPr="00D0733D" w:rsidRDefault="000252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AC6FA4D" w14:textId="77777777" w:rsidR="0002526D" w:rsidRDefault="000252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Określenie sposobu podziału środków finansowych na utrzymanie i rozwój potencjału dydaktycznego,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w tym kształcenie studentów na studiach stacjonarnych, utrzymanie i rozwój uczelni, w tym domów i stołówek studenckich, oraz rozwój zawodowy pracowników uczelni, </w:t>
            </w:r>
            <w:r w:rsidRPr="00E74DE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potencjału badawczego, w tym prowadzenie działalności naukowej, zakup lub wytworzenie aparatury naukowo-badawczej oraz infrastruktury informatycznej o wartości nieprzekraczającej 500 000 zł, kształcenie w szkole doktorskiej oraz komercjalizację wyników działalności naukowej oraz know-how związanego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z tymi wynikami.</w:t>
            </w:r>
          </w:p>
          <w:p w14:paraId="0686AA1E" w14:textId="4BBF03E4" w:rsidR="0064065C" w:rsidRPr="00D0733D" w:rsidRDefault="006406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Określenie </w:t>
            </w:r>
            <w:r w:rsidRPr="001A3980">
              <w:rPr>
                <w:rFonts w:ascii="Times New Roman" w:hAnsi="Times New Roman"/>
                <w:spacing w:val="-2"/>
                <w:sz w:val="24"/>
                <w:szCs w:val="24"/>
              </w:rPr>
              <w:t>sposobu podziału środków finansowych dla uczelni medycznych na realizację zadań związanych z prowadzeniem kształcenia podyplomowego celem zdobycia tytułu specjalisty przez lekarzy, lekarzy dentystów, farmaceutów, pielęgniarki i położne oraz przez diagnostów laboratoryjnych</w:t>
            </w:r>
            <w:r w:rsidR="00EB005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D133D3" w:rsidRPr="00D0733D" w14:paraId="38D5011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DFFC929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D133D3" w:rsidRPr="00D0733D" w14:paraId="7F5467D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850F65D" w14:textId="436A4010" w:rsidR="00836D54" w:rsidRDefault="004179D1" w:rsidP="00921D9B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 </w:t>
            </w:r>
            <w:r w:rsidR="000A5B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nie był przedmiotem </w:t>
            </w:r>
            <w:proofErr w:type="spellStart"/>
            <w:r w:rsidR="000A5BC6">
              <w:rPr>
                <w:rFonts w:ascii="Times New Roman" w:hAnsi="Times New Roman"/>
                <w:spacing w:val="-2"/>
                <w:sz w:val="24"/>
                <w:szCs w:val="24"/>
              </w:rPr>
              <w:t>pre</w:t>
            </w:r>
            <w:proofErr w:type="spellEnd"/>
            <w:r w:rsidR="000A5BC6">
              <w:rPr>
                <w:rFonts w:ascii="Times New Roman" w:hAnsi="Times New Roman"/>
                <w:spacing w:val="-2"/>
                <w:sz w:val="24"/>
                <w:szCs w:val="24"/>
              </w:rPr>
              <w:t>-konsultacji.</w:t>
            </w:r>
          </w:p>
          <w:p w14:paraId="5E98797E" w14:textId="5B98D1FB" w:rsidR="004179D1" w:rsidRPr="00D0733D" w:rsidRDefault="00836D54" w:rsidP="00921D9B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 rozporządzenia </w:t>
            </w:r>
            <w:r w:rsidR="00AB2411">
              <w:rPr>
                <w:rFonts w:ascii="Times New Roman" w:hAnsi="Times New Roman"/>
                <w:spacing w:val="-2"/>
                <w:sz w:val="24"/>
                <w:szCs w:val="24"/>
              </w:rPr>
              <w:t>zosta</w:t>
            </w:r>
            <w:r w:rsidR="00CB71C2"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4179D1" w:rsidRPr="00D073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skierowany do </w:t>
            </w:r>
            <w:r w:rsidR="00AB0CE0">
              <w:rPr>
                <w:rFonts w:ascii="Times New Roman" w:hAnsi="Times New Roman"/>
                <w:spacing w:val="-2"/>
                <w:sz w:val="24"/>
                <w:szCs w:val="24"/>
              </w:rPr>
              <w:t>konsultacji publicznych</w:t>
            </w:r>
            <w:r w:rsidR="004179D1" w:rsidRPr="00D073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do:</w:t>
            </w:r>
          </w:p>
          <w:p w14:paraId="26134455" w14:textId="5DD362CF" w:rsidR="00FD36D7" w:rsidRPr="00FD36D7" w:rsidRDefault="00FD36D7" w:rsidP="00FD36D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>Naczeln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Lekarsk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</w:p>
          <w:p w14:paraId="4C3131EB" w14:textId="304EB75F" w:rsidR="00FD36D7" w:rsidRPr="00FD36D7" w:rsidRDefault="00FD36D7" w:rsidP="00FD36D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>Naczeln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Aptekarsk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</w:p>
          <w:p w14:paraId="1654D153" w14:textId="0BAEE53E" w:rsidR="00FD36D7" w:rsidRPr="00FD36D7" w:rsidRDefault="00FD36D7" w:rsidP="00FD36D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>Naczeln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Pielęgniarek i Położnych; </w:t>
            </w:r>
          </w:p>
          <w:p w14:paraId="4EEF2588" w14:textId="1C238971" w:rsidR="00FD36D7" w:rsidRPr="00FD36D7" w:rsidRDefault="00FD36D7" w:rsidP="00FD36D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Krajowej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Diagnostów Laboratoryjnych; </w:t>
            </w:r>
          </w:p>
          <w:p w14:paraId="330A842F" w14:textId="04CA1DBD" w:rsidR="00FD36D7" w:rsidRPr="000A5BC6" w:rsidRDefault="00FD36D7" w:rsidP="00FD36D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>Krajow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ej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D3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Fizjoterapeutów;</w:t>
            </w:r>
          </w:p>
          <w:p w14:paraId="1A79CD50" w14:textId="77777777" w:rsidR="004179D1" w:rsidRPr="003B600D" w:rsidRDefault="004179D1" w:rsidP="00EB005A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pacing w:val="-2"/>
                <w:sz w:val="24"/>
                <w:szCs w:val="24"/>
              </w:rPr>
              <w:t>Rady Głównej Nauki i Szkolnictwa Wyższego;</w:t>
            </w:r>
          </w:p>
          <w:p w14:paraId="4DC6372D" w14:textId="77777777" w:rsidR="004179D1" w:rsidRPr="003B600D" w:rsidRDefault="004179D1" w:rsidP="00EB005A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pacing w:val="-2"/>
                <w:sz w:val="24"/>
                <w:szCs w:val="24"/>
              </w:rPr>
              <w:t>Konferencji Rektorów Akademickich Szkół Polskich;</w:t>
            </w:r>
          </w:p>
          <w:p w14:paraId="0E36B7FA" w14:textId="41CFD09A" w:rsidR="003B600D" w:rsidRPr="003B600D" w:rsidRDefault="003B600D" w:rsidP="00EB005A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/>
                <w:sz w:val="24"/>
                <w:szCs w:val="24"/>
              </w:rPr>
              <w:t>u Medycznego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w Białymstoku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3C9EDA" w14:textId="69B5F09E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Gdański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A6F168" w14:textId="17791EAA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Śląski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w Katowicach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87DEF4" w14:textId="1C9A27D7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w Lublinie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80E4A5" w14:textId="60F732E7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w Łodzi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D07C04" w14:textId="03DCD8BC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E0">
              <w:rPr>
                <w:rFonts w:ascii="Times New Roman" w:hAnsi="Times New Roman"/>
                <w:sz w:val="24"/>
                <w:szCs w:val="24"/>
              </w:rPr>
              <w:t xml:space="preserve">im. Karola Marcinkowskiego 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>w Poznaniu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32526A" w14:textId="79A4A388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Pomorski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w Szczecinie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905F62" w14:textId="4A735706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Warszawski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Uniwersytet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A81940" w14:textId="3E7E1990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z w:val="24"/>
                <w:szCs w:val="24"/>
              </w:rPr>
              <w:t>Uniwersytet</w:t>
            </w:r>
            <w:r>
              <w:rPr>
                <w:rFonts w:ascii="Times New Roman" w:hAnsi="Times New Roman"/>
                <w:sz w:val="24"/>
                <w:szCs w:val="24"/>
              </w:rPr>
              <w:t>u Medycznego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E0">
              <w:rPr>
                <w:rFonts w:ascii="Times New Roman" w:hAnsi="Times New Roman"/>
                <w:sz w:val="24"/>
                <w:szCs w:val="24"/>
              </w:rPr>
              <w:t xml:space="preserve">im. Piastów Śląskich </w:t>
            </w:r>
            <w:r w:rsidRPr="003B600D">
              <w:rPr>
                <w:rFonts w:ascii="Times New Roman" w:hAnsi="Times New Roman"/>
                <w:sz w:val="24"/>
                <w:szCs w:val="24"/>
              </w:rPr>
              <w:t>we Wrocławiu</w:t>
            </w:r>
            <w:r w:rsidR="008D5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DDA69C" w14:textId="2BFBD353" w:rsidR="003B600D" w:rsidRPr="003B600D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00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Centrum Medycznego Kształcenia Podyplomowego</w:t>
            </w:r>
            <w:r w:rsidR="008D50A2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14:paraId="3F818790" w14:textId="3018C87B" w:rsidR="003B600D" w:rsidRPr="00AB2411" w:rsidRDefault="003B600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Federacji Przedsiębiorców Polskich</w:t>
            </w:r>
            <w:r w:rsidR="008D50A2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14:paraId="1E281BBC" w14:textId="77777777" w:rsidR="00F600BD" w:rsidRPr="00AB2411" w:rsidRDefault="004F16EB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Forum Związków Zawodowych;</w:t>
            </w:r>
          </w:p>
          <w:p w14:paraId="03BCB36C" w14:textId="77777777" w:rsidR="004F16EB" w:rsidRPr="00AB2411" w:rsidRDefault="00D1405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Związku Pracodawców Business Centre Club;</w:t>
            </w:r>
          </w:p>
          <w:p w14:paraId="793BEB95" w14:textId="77777777" w:rsidR="00D1405D" w:rsidRPr="00AB2411" w:rsidRDefault="00D1405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Konfederacji Lewiatan;</w:t>
            </w:r>
          </w:p>
          <w:p w14:paraId="0AC9998F" w14:textId="77777777" w:rsidR="00D1405D" w:rsidRPr="00AB2411" w:rsidRDefault="00D1405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Pracodawców Rzeczypospolitej Polskiej;</w:t>
            </w:r>
          </w:p>
          <w:p w14:paraId="7314C21C" w14:textId="77777777" w:rsidR="00D1405D" w:rsidRPr="00AB2411" w:rsidRDefault="00520CF7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Związku Przedsiębiorców i Pracodawców;</w:t>
            </w:r>
          </w:p>
          <w:p w14:paraId="7E67B117" w14:textId="77777777" w:rsidR="00520CF7" w:rsidRDefault="00F0500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Związku Rzemiosła Polskiego;</w:t>
            </w:r>
          </w:p>
          <w:p w14:paraId="60E8834E" w14:textId="77777777" w:rsidR="008D50A2" w:rsidRDefault="008D50A2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Komisji Krajowej NSZZ „Solidarność”;</w:t>
            </w:r>
          </w:p>
          <w:p w14:paraId="0F69F462" w14:textId="05D21C28" w:rsidR="00EB005A" w:rsidRPr="00AB2411" w:rsidRDefault="00EB005A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NSZZ „Solidarność 80”;</w:t>
            </w:r>
          </w:p>
          <w:p w14:paraId="53023E06" w14:textId="0E77121D" w:rsidR="008D50A2" w:rsidRDefault="008D50A2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2411">
              <w:rPr>
                <w:rFonts w:ascii="Times New Roman" w:hAnsi="Times New Roman"/>
                <w:spacing w:val="-2"/>
                <w:sz w:val="24"/>
                <w:szCs w:val="24"/>
              </w:rPr>
              <w:t>Ogólnopolskiego Porozumienia Związków Zawodowych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3D91D5E3" w14:textId="77777777" w:rsidR="008D50A2" w:rsidRPr="00AB2411" w:rsidRDefault="008D50A2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D606004" w14:textId="1A97D6F5" w:rsidR="00D133D3" w:rsidRPr="00D0733D" w:rsidRDefault="001A3980" w:rsidP="00921D9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Projekt rozporządzenia</w:t>
            </w:r>
            <w:r w:rsidR="00CB71C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został </w:t>
            </w:r>
            <w:r w:rsidR="00B9438C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udostępniony 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w Biuletynie Informacji Publicznej na stronie podmiotowej </w:t>
            </w:r>
            <w:r w:rsidR="00E8760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Ministra </w:t>
            </w:r>
            <w:r w:rsidR="0070342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Zdrowia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, zgodnie z art. 5 ustawy z dnia 7 lipca 2005 r. o działalności lobbingowej w procesie stanowienia prawa (Dz. U. </w:t>
            </w:r>
            <w:r w:rsidR="00114548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z 2017 r. poz. 248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). </w:t>
            </w:r>
          </w:p>
          <w:p w14:paraId="6957F0EC" w14:textId="762C068B" w:rsidR="003C480B" w:rsidRPr="00D0733D" w:rsidRDefault="001A3980" w:rsidP="00921D9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Projekt rozporządzenia </w:t>
            </w:r>
            <w:r w:rsidR="00CB71C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został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B9438C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udostępniony 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również w Biuletynie Informacji Publicznej na stronie podmiotowej Rządowego Centrum Legislacji, w serwisie Rządowy Proces Legislacyjny, zgodnie z § 52 ust. 1 uchwały nr 190 Rady Ministrów z dnia 29 października 2013 r. – Regulamin pracy Rady Ministrów (M.P. </w:t>
            </w:r>
            <w:r w:rsidR="003D4769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z 2016 r. 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poz.</w:t>
            </w:r>
            <w:r w:rsidR="003D4769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1006</w:t>
            </w:r>
            <w:r w:rsidR="00114548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, z </w:t>
            </w:r>
            <w:proofErr w:type="spellStart"/>
            <w:r w:rsidR="00114548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późn</w:t>
            </w:r>
            <w:proofErr w:type="spellEnd"/>
            <w:r w:rsidR="00114548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 zm</w:t>
            </w:r>
            <w:r w:rsidR="00AA3D6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r w:rsidR="00D85B0A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)</w:t>
            </w:r>
            <w:r w:rsidR="00D133D3"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14:paraId="16D187D3" w14:textId="77777777" w:rsidR="00B80905" w:rsidRPr="00D0733D" w:rsidRDefault="00114548" w:rsidP="00921D9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Wyniki konsultacji publicznych i opiniowania zostaną omówione po ich zakończeniu</w:t>
            </w:r>
            <w:r w:rsidR="00DE2BC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w raporcie z konsultacji publicznych i opiniowania</w:t>
            </w:r>
            <w:r w:rsidRPr="00D07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</w:tr>
      <w:tr w:rsidR="00D133D3" w:rsidRPr="00D0733D" w14:paraId="51C72F3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209A2A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D133D3" w:rsidRPr="00D0733D" w14:paraId="54B4186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16B821C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46B554B" w14:textId="77777777" w:rsidR="00D133D3" w:rsidRPr="00D0733D" w:rsidRDefault="00D133D3" w:rsidP="00921D9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3D3" w:rsidRPr="00D0733D" w14:paraId="2321629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C181E14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4469AC3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AC1F35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35EB19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891CCA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222ADA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CD2D340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FF00DC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D0E41F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CC37D4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68D32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0E36E17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003214D" w14:textId="77777777" w:rsidR="00D133D3" w:rsidRPr="00D0733D" w:rsidRDefault="00D133D3" w:rsidP="00921D9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3D3" w:rsidRPr="00D0733D" w14:paraId="24AADF5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D0DA21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4D0D90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0E2487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9C395D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519B65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C36023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4BEE84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0A0296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121D05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00B35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EAA12E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365300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1B196A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328DA54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479CD2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57FA4F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2A7042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1595C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DFFE8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FF26D3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812153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E86196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F4C20A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C4A791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D266A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9787F4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8474E25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1B86AD1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0970D9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3B248D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F60877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AFB5DE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0CA36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BA34D0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88D613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7894774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8721F4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2E6E60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4D1F75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BCA963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BB2BA9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3E2C308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AA2145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CB2177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CFC46B" w14:textId="77777777" w:rsidR="00D133D3" w:rsidRPr="00D0733D" w:rsidRDefault="000253FA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AF362E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BE5F8C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6459B9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D2DC35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56BA77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3C3F92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5FA3CC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1BA832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104CE6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F62D903" w14:textId="77777777" w:rsidR="00D133D3" w:rsidRPr="00D0733D" w:rsidRDefault="000253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670F1C5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4F0010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C24F2A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3C093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DF715D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0CCBD7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F49C6C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21A03E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0D4F88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B0C230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6849B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E9E7A0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67E39C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937C29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3F69165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BF2194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77FACA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CF0EC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1369E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D2601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C38E7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DFCFC2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2172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AEE632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C1DA64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E3FA15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FDC39B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45F231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0B02216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8A1D6F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97F666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D4A768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27207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154D59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451A3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0A6885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58A24A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56C0E8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335DD2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A31D7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ADAEA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C120978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4027570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C839F7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64B8DB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49AC6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28974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DFF3B7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5A5BF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046A4D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6EE49D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45304E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5AEEF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8D356A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47279B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C7482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4DCBC89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42B276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C52990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D86B33" w14:textId="77777777" w:rsidR="00D133D3" w:rsidRPr="00D0733D" w:rsidRDefault="00B9438C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958754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756879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35C452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B959E1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B9C948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6BA001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E61FD3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5FDD37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B62852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F35CB78" w14:textId="77777777" w:rsidR="00D133D3" w:rsidRPr="00D0733D" w:rsidRDefault="00B943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7DFBD22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ADE10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85CECC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5B50C8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36FF6B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F181E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10CF6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F0CE5A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290DD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03CA77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7B1245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78AF2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E3DC42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C85A44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42DEABB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BA9310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A8A5C0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EBA7E4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94BA4F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BC3281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EA557B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DE28A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C94CE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981E6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2F8DC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A1E68A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161513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3344AE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0DD56E1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6D6F07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49558E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405B9" w14:textId="77777777" w:rsidR="00D133D3" w:rsidRPr="00D0733D" w:rsidRDefault="000B12E7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C5B94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9220A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FB38A6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B928EC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63BFCD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C1DBAF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15BBF8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D8C215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9A60D1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C810CD0" w14:textId="77777777" w:rsidR="00D133D3" w:rsidRPr="00D0733D" w:rsidRDefault="000B12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33D3" w:rsidRPr="00D0733D" w14:paraId="18B68CE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EC483C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9BF945" w14:textId="2ED014BF" w:rsidR="00D133D3" w:rsidRPr="00D275E9" w:rsidRDefault="00E478DD" w:rsidP="00EB00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Wejście w życie rozporządzenia nie będzie miało wpływu na sektor finansów publicznych, </w:t>
            </w:r>
            <w:r w:rsidR="00CB71C2">
              <w:rPr>
                <w:rFonts w:ascii="Times New Roman" w:hAnsi="Times New Roman"/>
                <w:sz w:val="24"/>
                <w:szCs w:val="24"/>
              </w:rPr>
              <w:t xml:space="preserve">w tym </w:t>
            </w:r>
            <w:r>
              <w:rPr>
                <w:rFonts w:ascii="Times New Roman" w:hAnsi="Times New Roman"/>
                <w:sz w:val="24"/>
                <w:szCs w:val="24"/>
              </w:rPr>
              <w:t>budżet państwa i budżety jednostek samorządu terytorialnego.</w:t>
            </w:r>
          </w:p>
        </w:tc>
      </w:tr>
      <w:tr w:rsidR="00D133D3" w:rsidRPr="00D0733D" w14:paraId="168EA20A" w14:textId="77777777" w:rsidTr="00625777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14:paraId="2E477226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57EED43" w14:textId="7F506720" w:rsidR="00454F7D" w:rsidRDefault="00E478DD" w:rsidP="00921D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3824">
              <w:rPr>
                <w:rFonts w:ascii="Times New Roman" w:hAnsi="Times New Roman"/>
                <w:sz w:val="24"/>
                <w:szCs w:val="24"/>
              </w:rPr>
              <w:t xml:space="preserve">Wejście w życie projektowanego rozporządzenia 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spowoduje zwiększenia wydatków lub zmniejszenia dochodów budżetu państwa oraz budżetów jednostek samorządu terytorialnego.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budżetowe przeznaczone </w:t>
            </w:r>
            <w:r w:rsidR="007F747B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CD52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subwencje</w:t>
            </w:r>
            <w:r w:rsidR="0062577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7F747B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</w:t>
            </w:r>
            <w:r w:rsidR="00A07E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manie potencjału dydaktycznego oraz potencjału</w:t>
            </w:r>
            <w:r w:rsidR="007F747B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badawczego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uczelni</w:t>
            </w:r>
            <w:r w:rsidR="007F747B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A39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medycznych</w:t>
            </w:r>
            <w:r w:rsidR="00681123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 określane </w:t>
            </w:r>
            <w:r w:rsidR="003B1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części znajdującej się w dyspozycji ministra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kolejne lata budżetowe</w:t>
            </w:r>
            <w:r w:rsidR="00BD7B8D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uwzględnieniu art. </w:t>
            </w:r>
            <w:r w:rsidR="0062577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  <w:r w:rsidR="00D504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0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W związku z</w:t>
            </w:r>
            <w:r w:rsidR="00F255F0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tym ustalony w załącznikach </w:t>
            </w:r>
            <w:r w:rsidR="00505A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1</w:t>
            </w:r>
            <w:r w:rsidR="00EB00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505A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EA31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rozporządzenia sposób podziału </w:t>
            </w:r>
            <w:r w:rsidR="0049380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środków finansowych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wpływa na </w:t>
            </w:r>
            <w:r w:rsidR="0049380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ich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  <w:r w:rsidR="0049380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 jedynie sposób ich rozdysponowania. Podział </w:t>
            </w:r>
            <w:r w:rsidR="00493807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środków finansowych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 których mowa w</w:t>
            </w:r>
            <w:r w:rsidR="00F255F0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poszcze</w:t>
            </w:r>
            <w:r w:rsidR="000441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gólnych załącznikach do projektowanego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rozporządzenia, </w:t>
            </w:r>
            <w:r w:rsidR="00EA7771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jest </w:t>
            </w:r>
            <w:r w:rsidR="00DC0E14" w:rsidRPr="00D073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dokonywany na dany rok budżetowy na podstawie parametrów ilościowo-jakościowych dostępnych bezpośrednio przed dokonaniem podziału. </w:t>
            </w:r>
          </w:p>
          <w:p w14:paraId="15591BDD" w14:textId="2CF74A4F" w:rsidR="00CE0456" w:rsidRPr="00D0733D" w:rsidRDefault="00967739" w:rsidP="00EB00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Źródłem danych do przeprowadzenia podziału środków budżetowych na subwencje dla uczelni medycznych oraz na dotację na zadania związane ze zdobywaniem specjalizacji przez lekarzy i inne wymienione w rozporządzeniu grupy zawodowe będą uzyskiwane ze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Zintegrowan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ego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System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Informacji o Nauce i Szkolnictwie Wyższym „POL-on”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bezpośrednio z uczelni medycznych.</w:t>
            </w:r>
          </w:p>
        </w:tc>
      </w:tr>
      <w:tr w:rsidR="00D133D3" w:rsidRPr="00D0733D" w14:paraId="6BAAC51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8EB084F" w14:textId="72A66A9A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3D3" w:rsidRPr="00D0733D" w14:paraId="20080FF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590B02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3D3" w:rsidRPr="00D0733D" w14:paraId="5F307BB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05A2297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EDF836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58051C" w14:textId="77777777" w:rsidR="00D133D3" w:rsidRPr="00D0733D" w:rsidRDefault="00D133D3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C8E6AE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465D14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6DA721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4B14ED2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12979BF" w14:textId="77777777" w:rsidR="00D133D3" w:rsidRPr="00D0733D" w:rsidRDefault="00D133D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D0733D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3D3" w:rsidRPr="00D0733D" w14:paraId="2828CC7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206E189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3D073E9A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9F9811F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3DB60AC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187B3B" w14:textId="77777777" w:rsidR="00D133D3" w:rsidRPr="00D0733D" w:rsidRDefault="00284C61" w:rsidP="00EB0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03C4A9F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07747A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D0C476E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B1D425F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87F047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619D5B9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564F348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398651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E2A006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21F4C7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B82DAA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BCB584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D8C4BDD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473EFD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486AB8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732E384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555BCB5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9E8591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76EECE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8B43A98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5387FF6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91B052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261D38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3BC89B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8BC54A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91C7FB2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7A6BE22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D95D128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85B69C" w14:textId="77777777" w:rsidR="00D133D3" w:rsidRPr="00D0733D" w:rsidRDefault="00DA34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BB58AA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1452B00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8F9684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8DEEA3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08D542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DEA0A23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693AD4A" w14:textId="77777777" w:rsidR="00D133D3" w:rsidRPr="00D0733D" w:rsidRDefault="00284C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3D3" w:rsidRPr="00D0733D" w14:paraId="4CEFB00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7CFA5B9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155C7D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89D652" w14:textId="77777777" w:rsidR="00D133D3" w:rsidRPr="00D0733D" w:rsidRDefault="00284C61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D133D3" w:rsidRPr="00D0733D" w14:paraId="6CA65BD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240C4C7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C9BDAB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7E0584" w14:textId="77777777" w:rsidR="00D133D3" w:rsidRPr="00D0733D" w:rsidRDefault="00284C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D133D3" w:rsidRPr="00D0733D" w14:paraId="2706448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51F0EFE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8EFAB7" w14:textId="77777777" w:rsidR="00D133D3" w:rsidRPr="00D0733D" w:rsidRDefault="00D133D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353385" w14:textId="77777777" w:rsidR="00D133D3" w:rsidRPr="00D0733D" w:rsidRDefault="00284C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D133D3" w:rsidRPr="00D0733D" w14:paraId="121C8FF6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67F5591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027ECE" w14:textId="77777777" w:rsidR="00D133D3" w:rsidRPr="00D0733D" w:rsidRDefault="00DA343D" w:rsidP="00921D9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0C78A96" w14:textId="77777777" w:rsidR="00D133D3" w:rsidRPr="00D0733D" w:rsidRDefault="00284C61" w:rsidP="00921D9B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D133D3" w:rsidRPr="00D0733D" w14:paraId="252FB52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CCB8052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06AD38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93018AE" w14:textId="77777777" w:rsidR="00D133D3" w:rsidRPr="00D0733D" w:rsidRDefault="00284C61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D133D3" w:rsidRPr="00D0733D" w14:paraId="33DBF873" w14:textId="77777777" w:rsidTr="00FB7738">
        <w:trPr>
          <w:gridAfter w:val="1"/>
          <w:wAfter w:w="10" w:type="dxa"/>
          <w:trHeight w:val="1387"/>
        </w:trPr>
        <w:tc>
          <w:tcPr>
            <w:tcW w:w="2243" w:type="dxa"/>
            <w:gridSpan w:val="2"/>
            <w:shd w:val="clear" w:color="auto" w:fill="FFFFFF"/>
          </w:tcPr>
          <w:p w14:paraId="3245B997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7EDAB93" w14:textId="77777777" w:rsidR="00D133D3" w:rsidRPr="00D0733D" w:rsidRDefault="003C45DC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Wejście w życie rozporządzenia nie będzie miało wpływu na konkurencyjność gospodarki i</w:t>
            </w:r>
            <w:r w:rsidR="008F301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przedsiębiorczość, w tym na funkcjonowanie przedsiębiorców, oraz na rodzinę, obywateli i</w:t>
            </w:r>
            <w:r w:rsidR="008F301D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gospodarstwa domowe</w:t>
            </w:r>
            <w:r w:rsidR="00CD524A">
              <w:rPr>
                <w:rFonts w:ascii="Times New Roman" w:hAnsi="Times New Roman"/>
                <w:color w:val="000000"/>
                <w:sz w:val="24"/>
                <w:szCs w:val="24"/>
              </w:rPr>
              <w:t>, a także</w:t>
            </w:r>
            <w:r w:rsidR="00CD524A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osoby niepełnosprawne oraz osoby starsze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3D3" w:rsidRPr="00D0733D" w14:paraId="11657EE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D729A6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133D3" w:rsidRPr="00D0733D" w14:paraId="4071F4F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DC317B8" w14:textId="77777777" w:rsidR="00D133D3" w:rsidRPr="00D0733D" w:rsidRDefault="0068112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133D3" w:rsidRPr="00D0733D" w14:paraId="71BBDCC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ECE8835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4C3E1D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BF77E87" w14:textId="77777777" w:rsidR="00D133D3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60BDF062" w14:textId="2FBB0225" w:rsidR="00D133D3" w:rsidRPr="00D0733D" w:rsidRDefault="00AF32A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D133D3" w:rsidRPr="00D0733D" w14:paraId="558CC69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F12B8AE" w14:textId="77777777" w:rsidR="00D133D3" w:rsidRPr="00D0733D" w:rsidRDefault="0068112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1C43D024" w14:textId="77777777" w:rsidR="00D133D3" w:rsidRPr="00D0733D" w:rsidRDefault="0068112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7094C240" w14:textId="77777777" w:rsidR="00D133D3" w:rsidRPr="00D0733D" w:rsidRDefault="0068112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15ED14E7" w14:textId="77777777" w:rsidR="00D133D3" w:rsidRPr="00D0733D" w:rsidRDefault="00D133D3" w:rsidP="00921D9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3479AF0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2D0FCBCB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20A0615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65983D93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1C7F2A77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3D3" w:rsidRPr="00D0733D" w14:paraId="05D99B6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4AB3A8B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F19601" w14:textId="6B0A5B98" w:rsidR="00D133D3" w:rsidRPr="00D0733D" w:rsidRDefault="00866D00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5A145DFB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239E2AB8" w14:textId="4C8303CF" w:rsidR="00D133D3" w:rsidRPr="00D0733D" w:rsidRDefault="00866D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D133D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D133D3" w:rsidRPr="00D0733D" w14:paraId="6286D8E8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82C827D" w14:textId="77777777" w:rsidR="00D133D3" w:rsidRPr="00D0733D" w:rsidRDefault="00D133D3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2E969961" w14:textId="22E3C0CA" w:rsidR="00B90702" w:rsidRPr="004F05BD" w:rsidRDefault="00B90702" w:rsidP="00CB71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projekcie zaproponowano wprowadzenie jednego algorytmu, według którego obliczona zostanie wysokość subwencji na utrzymanie i rozwój potencjału dydaktycznego oraz potencjału badawczego </w:t>
            </w:r>
            <w:r w:rsidRPr="00B90702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703426">
              <w:rPr>
                <w:rFonts w:ascii="Times New Roman" w:hAnsi="Times New Roman"/>
                <w:sz w:val="24"/>
                <w:szCs w:val="24"/>
              </w:rPr>
              <w:t>uczelni medycznych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nadzorowanych przez ministra</w:t>
            </w:r>
            <w:r w:rsidRPr="00B90702">
              <w:rPr>
                <w:rFonts w:ascii="Times New Roman" w:hAnsi="Times New Roman"/>
                <w:sz w:val="24"/>
                <w:szCs w:val="24"/>
              </w:rPr>
              <w:t xml:space="preserve">, co stanowi znaczne uproszczenie dotychczasowego sposobu </w:t>
            </w:r>
            <w:r w:rsidRPr="00B90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obliczania wysokości dotacji stanowiących odpowiedniki ww. subwencji i wynika z art. 366 ust. 2 ustawy, zgodnie z którym środki finansowe na utrzymanie i rozwój potencjału dydaktycznego oraz potencjału badawczego dla uczelni </w:t>
            </w:r>
            <w:r w:rsidR="00703426">
              <w:rPr>
                <w:rFonts w:ascii="Times New Roman" w:hAnsi="Times New Roman"/>
                <w:sz w:val="24"/>
                <w:szCs w:val="24"/>
              </w:rPr>
              <w:t>medycznych</w:t>
            </w:r>
            <w:r w:rsidRPr="00B90702">
              <w:rPr>
                <w:rFonts w:ascii="Times New Roman" w:hAnsi="Times New Roman"/>
                <w:sz w:val="24"/>
                <w:szCs w:val="24"/>
              </w:rPr>
              <w:t xml:space="preserve"> są przyznawane w ramach jednej subwencji.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uwagi na przyznawanie </w:t>
            </w:r>
            <w:r w:rsidR="00C15509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uczelniom, a nie ich podstawowym jednostkom organizacyjnym, znacząco zmaleje liczba dokumentów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wymaganych w celu</w:t>
            </w:r>
            <w:r w:rsidR="00D50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przyznania </w:t>
            </w:r>
            <w:r w:rsidR="00C1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tych </w:t>
            </w:r>
            <w:r w:rsidR="00D50480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D524A">
              <w:rPr>
                <w:rFonts w:ascii="Times New Roman" w:hAnsi="Times New Roman"/>
                <w:color w:val="000000"/>
                <w:sz w:val="24"/>
                <w:szCs w:val="24"/>
              </w:rPr>
              <w:t>Ponadto w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ysokość subwencji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utrzymanie</w:t>
            </w:r>
            <w:r w:rsidR="007D0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rozwój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potencjału </w:t>
            </w:r>
            <w:r w:rsidR="00D50480">
              <w:rPr>
                <w:rFonts w:ascii="Times New Roman" w:hAnsi="Times New Roman"/>
                <w:color w:val="000000"/>
                <w:sz w:val="24"/>
                <w:szCs w:val="24"/>
              </w:rPr>
              <w:t>dydaktycznego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oraz potencjału </w:t>
            </w:r>
            <w:r w:rsidR="00C15509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badawczego</w:t>
            </w:r>
            <w:r w:rsidR="00C1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będzie obliczana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0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głównie 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na podstawie posiadany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 przez </w:t>
            </w:r>
            <w:r w:rsidR="00CB71C2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6F3E3F">
              <w:rPr>
                <w:rFonts w:ascii="Times New Roman" w:hAnsi="Times New Roman"/>
                <w:color w:val="000000"/>
                <w:sz w:val="24"/>
                <w:szCs w:val="24"/>
              </w:rPr>
              <w:t>inist</w:t>
            </w:r>
            <w:r w:rsidR="00CB71C2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r w:rsidR="006F3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danych</w:t>
            </w:r>
            <w:r w:rsidR="00AF3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przede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wszystkim </w:t>
            </w:r>
            <w:r w:rsidR="00CD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danych </w:t>
            </w:r>
            <w:r w:rsidR="003D0535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gromadzonych w</w:t>
            </w:r>
            <w:r w:rsidR="00E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Zintegrowanym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Systemie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Informacji o </w:t>
            </w:r>
            <w:r w:rsidR="008D5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Nauce i </w:t>
            </w:r>
            <w:r w:rsidR="00E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Szkolnictwie Wyższym </w:t>
            </w:r>
            <w:r w:rsidR="00703426">
              <w:rPr>
                <w:rFonts w:ascii="Times New Roman" w:hAnsi="Times New Roman"/>
                <w:color w:val="000000"/>
                <w:sz w:val="24"/>
                <w:szCs w:val="24"/>
              </w:rPr>
              <w:t>POL-on,</w:t>
            </w:r>
            <w:r w:rsidR="008D5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  <w:r w:rsidR="00E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jak 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do tej pory</w:t>
            </w:r>
            <w:r w:rsidR="00E25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podstawie 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corocznie </w:t>
            </w:r>
            <w:r w:rsidR="00CD524A">
              <w:rPr>
                <w:rFonts w:ascii="Times New Roman" w:hAnsi="Times New Roman"/>
                <w:color w:val="000000"/>
                <w:sz w:val="24"/>
                <w:szCs w:val="24"/>
              </w:rPr>
              <w:t>składanych wniosków</w:t>
            </w:r>
            <w:r w:rsidR="00967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dotację na naukę</w:t>
            </w:r>
            <w:r w:rsidR="00CD524A">
              <w:rPr>
                <w:rFonts w:ascii="Times New Roman" w:hAnsi="Times New Roman"/>
                <w:color w:val="000000"/>
                <w:sz w:val="24"/>
                <w:szCs w:val="24"/>
              </w:rPr>
              <w:t>. Dotychczas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3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uczelnie nadzorowane przez </w:t>
            </w:r>
            <w:r w:rsidR="00CB71C2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703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inistra </w:t>
            </w:r>
            <w:r w:rsidR="00947FE4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 roku 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występował</w:t>
            </w:r>
            <w:r w:rsidR="00703426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wnioskami </w:t>
            </w:r>
            <w:r w:rsidR="00703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Ministra Nauki i Szkolnictwa Wyższego </w:t>
            </w:r>
            <w:r w:rsidR="00681123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 przyznanie dotacji na utrzymanie potencjału badawczego.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 względu na rezygn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ację z konieczności składania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wniosków o</w:t>
            </w:r>
            <w:r w:rsidR="00F255F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przyznanie 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F255F0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znacząco </w:t>
            </w:r>
            <w:r w:rsidR="007B17A7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zostanie 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skrócony czas</w:t>
            </w:r>
            <w:r w:rsidR="0094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niezbędny na dokonanie podziału środków finansowych na utrzymanie potencjału badawczego</w:t>
            </w:r>
            <w:r w:rsidR="00B46F55"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3D3" w:rsidRPr="00D0733D" w14:paraId="1F7406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3C1EBC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Wpływ na rynek pracy </w:t>
            </w:r>
          </w:p>
        </w:tc>
      </w:tr>
      <w:tr w:rsidR="00D133D3" w:rsidRPr="00D0733D" w14:paraId="0576E9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195FA4" w14:textId="55F2A832" w:rsidR="0025722F" w:rsidRPr="0025722F" w:rsidRDefault="003C45DC" w:rsidP="00EB00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sz w:val="24"/>
                <w:szCs w:val="24"/>
              </w:rPr>
              <w:t>Rozporządzenie nie będzie miało wpływu na rynek pracy.</w:t>
            </w:r>
          </w:p>
        </w:tc>
      </w:tr>
      <w:tr w:rsidR="00D133D3" w:rsidRPr="00D0733D" w14:paraId="453D41F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DE99671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D133D3" w:rsidRPr="00D0733D" w14:paraId="09CBC59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A17B309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3C3D1B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540110AB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47E9647C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edukacja, rozwój zawodowy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FC0C642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2AA52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0CCCC530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6B57B29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2A622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66EC1418" w14:textId="77777777" w:rsidR="00D133D3" w:rsidRPr="00D0733D" w:rsidRDefault="00D133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2460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D133D3" w:rsidRPr="00D0733D" w14:paraId="77C62019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967B3A7" w14:textId="77777777" w:rsidR="00D133D3" w:rsidRPr="00D0733D" w:rsidRDefault="00D133D3" w:rsidP="00EB0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63F54B" w14:textId="77777777" w:rsidR="00D133D3" w:rsidRPr="00D0733D" w:rsidRDefault="00091AE2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="00D133D3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ie dotyczy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D133D3" w:rsidRPr="00D0733D" w14:paraId="1DFDF6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CA67D4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D133D3" w:rsidRPr="00D0733D" w14:paraId="746EB09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FF4108" w14:textId="23D1D675" w:rsidR="00D133D3" w:rsidRPr="00D0733D" w:rsidRDefault="003C45DC" w:rsidP="00EB005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Cs/>
                <w:sz w:val="24"/>
                <w:szCs w:val="24"/>
              </w:rPr>
              <w:t>Przepisy rozporządzenia będą wykonywane cyklicznie</w:t>
            </w:r>
            <w:r w:rsidR="00FB64CF" w:rsidRPr="00D07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0733D">
              <w:rPr>
                <w:rFonts w:ascii="Times New Roman" w:hAnsi="Times New Roman"/>
                <w:bCs/>
                <w:sz w:val="24"/>
                <w:szCs w:val="24"/>
              </w:rPr>
              <w:t xml:space="preserve"> w ramach corocznego podziału </w:t>
            </w:r>
            <w:r w:rsidR="00027733" w:rsidRPr="00D0733D">
              <w:rPr>
                <w:rFonts w:ascii="Times New Roman" w:hAnsi="Times New Roman"/>
                <w:bCs/>
                <w:sz w:val="24"/>
                <w:szCs w:val="24"/>
              </w:rPr>
              <w:t xml:space="preserve">środków finansowych na utrzymanie </w:t>
            </w:r>
            <w:r w:rsidR="002A6F57">
              <w:rPr>
                <w:rFonts w:ascii="Times New Roman" w:hAnsi="Times New Roman"/>
                <w:bCs/>
                <w:sz w:val="24"/>
                <w:szCs w:val="24"/>
              </w:rPr>
              <w:t xml:space="preserve">i rozwój potencjału dydaktycznego oraz potencjału </w:t>
            </w:r>
            <w:r w:rsidR="00027733" w:rsidRPr="00D0733D">
              <w:rPr>
                <w:rFonts w:ascii="Times New Roman" w:hAnsi="Times New Roman"/>
                <w:bCs/>
                <w:sz w:val="24"/>
                <w:szCs w:val="24"/>
              </w:rPr>
              <w:t>badawczego</w:t>
            </w:r>
            <w:r w:rsidRPr="00D073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B3251">
              <w:rPr>
                <w:rFonts w:ascii="Times New Roman" w:hAnsi="Times New Roman"/>
                <w:bCs/>
                <w:sz w:val="24"/>
                <w:szCs w:val="24"/>
              </w:rPr>
              <w:t>a także na</w:t>
            </w:r>
            <w:r w:rsidR="002B32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zadania związane </w:t>
            </w:r>
            <w:r w:rsidR="002B32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z </w:t>
            </w:r>
            <w:r w:rsidR="009677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realizacją zadań związanych ze zdobywaniem specjalizacji w wybranych zawodach medycznych pocz</w:t>
            </w:r>
            <w:r w:rsidRPr="00D0733D">
              <w:rPr>
                <w:rFonts w:ascii="Times New Roman" w:hAnsi="Times New Roman"/>
                <w:bCs/>
                <w:sz w:val="24"/>
                <w:szCs w:val="24"/>
              </w:rPr>
              <w:t>ąwszy od 201</w:t>
            </w:r>
            <w:r w:rsidR="00027733" w:rsidRPr="00D073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90A3A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Pr="00D073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33D3" w:rsidRPr="00D0733D" w14:paraId="07983AB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786A70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733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133D3" w:rsidRPr="00D0733D" w14:paraId="183126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10FA6E" w14:textId="06A7907E" w:rsidR="00D133D3" w:rsidRPr="00D0733D" w:rsidRDefault="003C45DC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Monitorowanie 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wysokości 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środków finansowych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91AE2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sposób 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ich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podział</w:t>
            </w:r>
            <w:r w:rsidR="00091AE2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pomiędzy uczelnie medyczne wg opisanych w rozporządzeniu algorytmów będzie dokonywany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ramach oceny realizacji celów 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zdefiniowanych </w:t>
            </w:r>
            <w:r w:rsidR="00AB0C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budże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cie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zadaniow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ym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14:paraId="04645583" w14:textId="5F187560" w:rsidR="008C3F13" w:rsidRPr="00D0733D" w:rsidRDefault="008C3F13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Podstawowe cele zakładanych zmian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ustawowych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taki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ch</w:t>
            </w:r>
            <w:r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jak 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podniesienie jakości kształcenia i</w:t>
            </w:r>
            <w:r w:rsidR="000D6760" w:rsidRPr="00D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B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działalności naukowej,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wzmocnienie procesów umiędzynarodowienia, a także </w:t>
            </w:r>
            <w:r w:rsidR="00383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liczba, jakość i waga prowadzonych projektów badawczych 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będą corocznie monitorowane na etapie podziału środków finansowych </w:t>
            </w:r>
            <w:r w:rsidR="001260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F51E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dany</w:t>
            </w:r>
            <w:r w:rsidR="00F51E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rok</w:t>
            </w:r>
            <w:r w:rsidR="00F51E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budżetowy</w:t>
            </w:r>
            <w:r w:rsidR="00F51E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="000D6760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gdyż parametry podziału tych środków zostały określone w taki sposób, aby możliwe było dokonanie analizy </w:t>
            </w:r>
            <w:r w:rsidR="001446E1" w:rsidRPr="00D07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efektów.</w:t>
            </w:r>
          </w:p>
        </w:tc>
      </w:tr>
      <w:tr w:rsidR="00D133D3" w:rsidRPr="00D0733D" w14:paraId="5F4EB0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985702" w14:textId="77777777" w:rsidR="00D133D3" w:rsidRPr="00D0733D" w:rsidRDefault="00D133D3" w:rsidP="00921D9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07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D0733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D07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D133D3" w:rsidRPr="00C11AFC" w14:paraId="1FF19E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8C9C759" w14:textId="77777777" w:rsidR="00D133D3" w:rsidRPr="00C11AFC" w:rsidRDefault="00947FE4" w:rsidP="00EB00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</w:t>
            </w:r>
            <w:r w:rsidR="00074F8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14:paraId="134A9C65" w14:textId="77777777" w:rsidR="006176ED" w:rsidRPr="00C11AFC" w:rsidRDefault="006176ED" w:rsidP="00921D9B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176ED" w:rsidRPr="00C11AF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1AB0" w14:textId="77777777" w:rsidR="00C2460B" w:rsidRDefault="00C2460B" w:rsidP="00044739">
      <w:pPr>
        <w:spacing w:line="240" w:lineRule="auto"/>
      </w:pPr>
      <w:r>
        <w:separator/>
      </w:r>
    </w:p>
  </w:endnote>
  <w:endnote w:type="continuationSeparator" w:id="0">
    <w:p w14:paraId="64FB9044" w14:textId="77777777" w:rsidR="00C2460B" w:rsidRDefault="00C2460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AHNO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E372F" w14:textId="77777777" w:rsidR="00C2460B" w:rsidRDefault="00C2460B" w:rsidP="00044739">
      <w:pPr>
        <w:spacing w:line="240" w:lineRule="auto"/>
      </w:pPr>
      <w:r>
        <w:separator/>
      </w:r>
    </w:p>
  </w:footnote>
  <w:footnote w:type="continuationSeparator" w:id="0">
    <w:p w14:paraId="576FF006" w14:textId="77777777" w:rsidR="00C2460B" w:rsidRDefault="00C2460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74A"/>
    <w:multiLevelType w:val="hybridMultilevel"/>
    <w:tmpl w:val="7116F774"/>
    <w:lvl w:ilvl="0" w:tplc="B5BC7D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0A9"/>
    <w:multiLevelType w:val="hybridMultilevel"/>
    <w:tmpl w:val="01D2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F68"/>
    <w:multiLevelType w:val="hybridMultilevel"/>
    <w:tmpl w:val="8676E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6907"/>
    <w:multiLevelType w:val="hybridMultilevel"/>
    <w:tmpl w:val="0E342782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216B2F14"/>
    <w:multiLevelType w:val="hybridMultilevel"/>
    <w:tmpl w:val="E28CC87E"/>
    <w:lvl w:ilvl="0" w:tplc="9DAE8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0BD7"/>
    <w:multiLevelType w:val="hybridMultilevel"/>
    <w:tmpl w:val="EDFEEE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D220E9"/>
    <w:multiLevelType w:val="hybridMultilevel"/>
    <w:tmpl w:val="84E49A22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373937E5"/>
    <w:multiLevelType w:val="hybridMultilevel"/>
    <w:tmpl w:val="FEC697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EB304B8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5C063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2EA5"/>
    <w:multiLevelType w:val="hybridMultilevel"/>
    <w:tmpl w:val="64F6B6F4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B8A43F0"/>
    <w:multiLevelType w:val="hybridMultilevel"/>
    <w:tmpl w:val="079C47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6034009"/>
    <w:multiLevelType w:val="hybridMultilevel"/>
    <w:tmpl w:val="8676E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3026"/>
    <w:multiLevelType w:val="hybridMultilevel"/>
    <w:tmpl w:val="163E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1320"/>
    <w:multiLevelType w:val="hybridMultilevel"/>
    <w:tmpl w:val="EE96A1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C61A24"/>
    <w:multiLevelType w:val="hybridMultilevel"/>
    <w:tmpl w:val="DC74F512"/>
    <w:lvl w:ilvl="0" w:tplc="7DD027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A0A5C"/>
    <w:multiLevelType w:val="hybridMultilevel"/>
    <w:tmpl w:val="3F0C379E"/>
    <w:lvl w:ilvl="0" w:tplc="04150017">
      <w:start w:val="1"/>
      <w:numFmt w:val="lowerLetter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16F7"/>
    <w:rsid w:val="00001DD4"/>
    <w:rsid w:val="000022D5"/>
    <w:rsid w:val="00002F22"/>
    <w:rsid w:val="00003C44"/>
    <w:rsid w:val="00004C6A"/>
    <w:rsid w:val="00004E04"/>
    <w:rsid w:val="00005CBF"/>
    <w:rsid w:val="00010338"/>
    <w:rsid w:val="00010FDC"/>
    <w:rsid w:val="00011390"/>
    <w:rsid w:val="00012665"/>
    <w:rsid w:val="00012D11"/>
    <w:rsid w:val="0001350E"/>
    <w:rsid w:val="00013C89"/>
    <w:rsid w:val="00013EB5"/>
    <w:rsid w:val="000149DF"/>
    <w:rsid w:val="00014E20"/>
    <w:rsid w:val="00022ABC"/>
    <w:rsid w:val="0002355F"/>
    <w:rsid w:val="00023836"/>
    <w:rsid w:val="00023E11"/>
    <w:rsid w:val="000251D9"/>
    <w:rsid w:val="0002526D"/>
    <w:rsid w:val="000253FA"/>
    <w:rsid w:val="00025CDD"/>
    <w:rsid w:val="000263BE"/>
    <w:rsid w:val="00026E99"/>
    <w:rsid w:val="00027733"/>
    <w:rsid w:val="000305F3"/>
    <w:rsid w:val="00030CAD"/>
    <w:rsid w:val="000313E2"/>
    <w:rsid w:val="00032AF8"/>
    <w:rsid w:val="00034CF6"/>
    <w:rsid w:val="000356A9"/>
    <w:rsid w:val="00036263"/>
    <w:rsid w:val="0003676C"/>
    <w:rsid w:val="00036857"/>
    <w:rsid w:val="00037A67"/>
    <w:rsid w:val="00037FBF"/>
    <w:rsid w:val="00044138"/>
    <w:rsid w:val="00044179"/>
    <w:rsid w:val="0004461E"/>
    <w:rsid w:val="00044739"/>
    <w:rsid w:val="00044B20"/>
    <w:rsid w:val="00045820"/>
    <w:rsid w:val="00046510"/>
    <w:rsid w:val="00046876"/>
    <w:rsid w:val="00047AE6"/>
    <w:rsid w:val="000508D6"/>
    <w:rsid w:val="00050932"/>
    <w:rsid w:val="000509A9"/>
    <w:rsid w:val="000510E6"/>
    <w:rsid w:val="00051637"/>
    <w:rsid w:val="00054475"/>
    <w:rsid w:val="00056681"/>
    <w:rsid w:val="00057EF3"/>
    <w:rsid w:val="0006139C"/>
    <w:rsid w:val="00061CE6"/>
    <w:rsid w:val="00064476"/>
    <w:rsid w:val="000648A7"/>
    <w:rsid w:val="000648AD"/>
    <w:rsid w:val="0006618B"/>
    <w:rsid w:val="000668BC"/>
    <w:rsid w:val="00066BC1"/>
    <w:rsid w:val="000670C0"/>
    <w:rsid w:val="00071B99"/>
    <w:rsid w:val="00074F80"/>
    <w:rsid w:val="00075044"/>
    <w:rsid w:val="000751E9"/>
    <w:rsid w:val="000756E5"/>
    <w:rsid w:val="00075B06"/>
    <w:rsid w:val="0007704E"/>
    <w:rsid w:val="00077566"/>
    <w:rsid w:val="00080EC8"/>
    <w:rsid w:val="000826C7"/>
    <w:rsid w:val="00082E5D"/>
    <w:rsid w:val="00083C68"/>
    <w:rsid w:val="0008641A"/>
    <w:rsid w:val="00090A3A"/>
    <w:rsid w:val="0009104A"/>
    <w:rsid w:val="00091AE2"/>
    <w:rsid w:val="00091E2B"/>
    <w:rsid w:val="000925A0"/>
    <w:rsid w:val="000944AC"/>
    <w:rsid w:val="00094CB9"/>
    <w:rsid w:val="000956B2"/>
    <w:rsid w:val="00096CC4"/>
    <w:rsid w:val="00097D35"/>
    <w:rsid w:val="000A23DE"/>
    <w:rsid w:val="000A31E7"/>
    <w:rsid w:val="000A3F73"/>
    <w:rsid w:val="000A4020"/>
    <w:rsid w:val="000A50F1"/>
    <w:rsid w:val="000A5BC6"/>
    <w:rsid w:val="000B0546"/>
    <w:rsid w:val="000B0BEC"/>
    <w:rsid w:val="000B12E7"/>
    <w:rsid w:val="000B1585"/>
    <w:rsid w:val="000B1A98"/>
    <w:rsid w:val="000B2E13"/>
    <w:rsid w:val="000B3586"/>
    <w:rsid w:val="000B3D3D"/>
    <w:rsid w:val="000B4326"/>
    <w:rsid w:val="000B54FB"/>
    <w:rsid w:val="000B59DC"/>
    <w:rsid w:val="000C1F35"/>
    <w:rsid w:val="000C29B0"/>
    <w:rsid w:val="000C60D7"/>
    <w:rsid w:val="000C65D3"/>
    <w:rsid w:val="000C76FC"/>
    <w:rsid w:val="000C7E26"/>
    <w:rsid w:val="000D1B2F"/>
    <w:rsid w:val="000D1D76"/>
    <w:rsid w:val="000D38FC"/>
    <w:rsid w:val="000D4D90"/>
    <w:rsid w:val="000D51E6"/>
    <w:rsid w:val="000D6760"/>
    <w:rsid w:val="000D7702"/>
    <w:rsid w:val="000D7D3E"/>
    <w:rsid w:val="000E1943"/>
    <w:rsid w:val="000E1DAE"/>
    <w:rsid w:val="000E2793"/>
    <w:rsid w:val="000E2D10"/>
    <w:rsid w:val="000E35BE"/>
    <w:rsid w:val="000E3EF4"/>
    <w:rsid w:val="000E46D7"/>
    <w:rsid w:val="000E655D"/>
    <w:rsid w:val="000E68E9"/>
    <w:rsid w:val="000E7CB3"/>
    <w:rsid w:val="000F298D"/>
    <w:rsid w:val="000F3204"/>
    <w:rsid w:val="000F7ACF"/>
    <w:rsid w:val="00100FAC"/>
    <w:rsid w:val="00103BD3"/>
    <w:rsid w:val="0010548B"/>
    <w:rsid w:val="0010660C"/>
    <w:rsid w:val="001072D1"/>
    <w:rsid w:val="00110620"/>
    <w:rsid w:val="00114548"/>
    <w:rsid w:val="00114F7B"/>
    <w:rsid w:val="00115509"/>
    <w:rsid w:val="00115C38"/>
    <w:rsid w:val="00117017"/>
    <w:rsid w:val="0011761E"/>
    <w:rsid w:val="001212C3"/>
    <w:rsid w:val="0012499B"/>
    <w:rsid w:val="0012608F"/>
    <w:rsid w:val="00126DBE"/>
    <w:rsid w:val="00127CB3"/>
    <w:rsid w:val="00130E8E"/>
    <w:rsid w:val="00131890"/>
    <w:rsid w:val="0013216E"/>
    <w:rsid w:val="00133278"/>
    <w:rsid w:val="00133D23"/>
    <w:rsid w:val="0013424F"/>
    <w:rsid w:val="00134D17"/>
    <w:rsid w:val="00135C40"/>
    <w:rsid w:val="00135C99"/>
    <w:rsid w:val="00136A00"/>
    <w:rsid w:val="001401B5"/>
    <w:rsid w:val="00142163"/>
    <w:rsid w:val="001422B9"/>
    <w:rsid w:val="00143C97"/>
    <w:rsid w:val="001446AD"/>
    <w:rsid w:val="001446E1"/>
    <w:rsid w:val="00144BB5"/>
    <w:rsid w:val="00145860"/>
    <w:rsid w:val="0014665F"/>
    <w:rsid w:val="00151191"/>
    <w:rsid w:val="001512B6"/>
    <w:rsid w:val="00152539"/>
    <w:rsid w:val="00153464"/>
    <w:rsid w:val="00153800"/>
    <w:rsid w:val="001539C9"/>
    <w:rsid w:val="001541B3"/>
    <w:rsid w:val="001550B8"/>
    <w:rsid w:val="0015535F"/>
    <w:rsid w:val="00155B15"/>
    <w:rsid w:val="00160EFE"/>
    <w:rsid w:val="00162053"/>
    <w:rsid w:val="001625BE"/>
    <w:rsid w:val="00163098"/>
    <w:rsid w:val="001643A4"/>
    <w:rsid w:val="00166105"/>
    <w:rsid w:val="0017004B"/>
    <w:rsid w:val="001702AD"/>
    <w:rsid w:val="0017108D"/>
    <w:rsid w:val="001727BB"/>
    <w:rsid w:val="001742A9"/>
    <w:rsid w:val="001745B3"/>
    <w:rsid w:val="00177C74"/>
    <w:rsid w:val="00180D25"/>
    <w:rsid w:val="0018252D"/>
    <w:rsid w:val="0018318D"/>
    <w:rsid w:val="00184371"/>
    <w:rsid w:val="0018572C"/>
    <w:rsid w:val="001865A7"/>
    <w:rsid w:val="001873BE"/>
    <w:rsid w:val="00187402"/>
    <w:rsid w:val="00187E79"/>
    <w:rsid w:val="00187F0D"/>
    <w:rsid w:val="00190AFF"/>
    <w:rsid w:val="001913CC"/>
    <w:rsid w:val="00192CC5"/>
    <w:rsid w:val="00192CDD"/>
    <w:rsid w:val="00194326"/>
    <w:rsid w:val="00194D76"/>
    <w:rsid w:val="001956A7"/>
    <w:rsid w:val="00195E59"/>
    <w:rsid w:val="0019732B"/>
    <w:rsid w:val="001A118A"/>
    <w:rsid w:val="001A27F4"/>
    <w:rsid w:val="001A2D95"/>
    <w:rsid w:val="001A3265"/>
    <w:rsid w:val="001A3980"/>
    <w:rsid w:val="001A4613"/>
    <w:rsid w:val="001A4E52"/>
    <w:rsid w:val="001A4F2D"/>
    <w:rsid w:val="001A6E61"/>
    <w:rsid w:val="001A79A2"/>
    <w:rsid w:val="001B1F20"/>
    <w:rsid w:val="001B277C"/>
    <w:rsid w:val="001B3460"/>
    <w:rsid w:val="001B4682"/>
    <w:rsid w:val="001B47AE"/>
    <w:rsid w:val="001B4CA1"/>
    <w:rsid w:val="001B5304"/>
    <w:rsid w:val="001B57ED"/>
    <w:rsid w:val="001B5C24"/>
    <w:rsid w:val="001B683B"/>
    <w:rsid w:val="001B75D8"/>
    <w:rsid w:val="001B76FF"/>
    <w:rsid w:val="001C1060"/>
    <w:rsid w:val="001C21C4"/>
    <w:rsid w:val="001C349D"/>
    <w:rsid w:val="001C3C63"/>
    <w:rsid w:val="001C4923"/>
    <w:rsid w:val="001C5472"/>
    <w:rsid w:val="001C5EC7"/>
    <w:rsid w:val="001D2286"/>
    <w:rsid w:val="001D2332"/>
    <w:rsid w:val="001D3115"/>
    <w:rsid w:val="001D41E6"/>
    <w:rsid w:val="001D4732"/>
    <w:rsid w:val="001D6979"/>
    <w:rsid w:val="001D69BC"/>
    <w:rsid w:val="001D6A3C"/>
    <w:rsid w:val="001D6D51"/>
    <w:rsid w:val="001E19DC"/>
    <w:rsid w:val="001E1BC0"/>
    <w:rsid w:val="001E3369"/>
    <w:rsid w:val="001E3877"/>
    <w:rsid w:val="001E583E"/>
    <w:rsid w:val="001E591F"/>
    <w:rsid w:val="001E64BD"/>
    <w:rsid w:val="001F112F"/>
    <w:rsid w:val="001F127D"/>
    <w:rsid w:val="001F263C"/>
    <w:rsid w:val="001F3417"/>
    <w:rsid w:val="001F3A05"/>
    <w:rsid w:val="001F4C89"/>
    <w:rsid w:val="001F4DAD"/>
    <w:rsid w:val="001F5A5F"/>
    <w:rsid w:val="001F6979"/>
    <w:rsid w:val="00202A8A"/>
    <w:rsid w:val="00202BC6"/>
    <w:rsid w:val="00204908"/>
    <w:rsid w:val="00205141"/>
    <w:rsid w:val="0020516B"/>
    <w:rsid w:val="0021220E"/>
    <w:rsid w:val="00213559"/>
    <w:rsid w:val="00213902"/>
    <w:rsid w:val="00213A28"/>
    <w:rsid w:val="00213E6E"/>
    <w:rsid w:val="00213EFD"/>
    <w:rsid w:val="00213FF5"/>
    <w:rsid w:val="0021477B"/>
    <w:rsid w:val="00214CFC"/>
    <w:rsid w:val="00215082"/>
    <w:rsid w:val="0021522C"/>
    <w:rsid w:val="00215394"/>
    <w:rsid w:val="00216518"/>
    <w:rsid w:val="002172F1"/>
    <w:rsid w:val="00222B03"/>
    <w:rsid w:val="0022307A"/>
    <w:rsid w:val="00223C7B"/>
    <w:rsid w:val="002245D6"/>
    <w:rsid w:val="00224824"/>
    <w:rsid w:val="00224AB1"/>
    <w:rsid w:val="0022687A"/>
    <w:rsid w:val="00226C48"/>
    <w:rsid w:val="00230636"/>
    <w:rsid w:val="00230728"/>
    <w:rsid w:val="00234040"/>
    <w:rsid w:val="002340FD"/>
    <w:rsid w:val="00235C0D"/>
    <w:rsid w:val="00235CD2"/>
    <w:rsid w:val="002373FE"/>
    <w:rsid w:val="00237E2B"/>
    <w:rsid w:val="00246478"/>
    <w:rsid w:val="00246EE3"/>
    <w:rsid w:val="00251B8A"/>
    <w:rsid w:val="00253794"/>
    <w:rsid w:val="00253D46"/>
    <w:rsid w:val="00254DCE"/>
    <w:rsid w:val="00254DED"/>
    <w:rsid w:val="002553D4"/>
    <w:rsid w:val="00255619"/>
    <w:rsid w:val="00255D11"/>
    <w:rsid w:val="00255DAD"/>
    <w:rsid w:val="00255EB4"/>
    <w:rsid w:val="00256108"/>
    <w:rsid w:val="00256D05"/>
    <w:rsid w:val="0025722F"/>
    <w:rsid w:val="0026006E"/>
    <w:rsid w:val="00260F33"/>
    <w:rsid w:val="002613BD"/>
    <w:rsid w:val="002624F1"/>
    <w:rsid w:val="00263999"/>
    <w:rsid w:val="002644A4"/>
    <w:rsid w:val="00265F1C"/>
    <w:rsid w:val="00266903"/>
    <w:rsid w:val="00266B6C"/>
    <w:rsid w:val="00270C81"/>
    <w:rsid w:val="00271558"/>
    <w:rsid w:val="002716AF"/>
    <w:rsid w:val="00273940"/>
    <w:rsid w:val="002746FE"/>
    <w:rsid w:val="00274862"/>
    <w:rsid w:val="0027547F"/>
    <w:rsid w:val="002812C9"/>
    <w:rsid w:val="00282093"/>
    <w:rsid w:val="00282D72"/>
    <w:rsid w:val="0028324F"/>
    <w:rsid w:val="00283402"/>
    <w:rsid w:val="00283854"/>
    <w:rsid w:val="002839A8"/>
    <w:rsid w:val="00284C61"/>
    <w:rsid w:val="00284EFE"/>
    <w:rsid w:val="0028619B"/>
    <w:rsid w:val="002866E7"/>
    <w:rsid w:val="00286B3E"/>
    <w:rsid w:val="00290FD6"/>
    <w:rsid w:val="0029372C"/>
    <w:rsid w:val="00293891"/>
    <w:rsid w:val="00294259"/>
    <w:rsid w:val="00297804"/>
    <w:rsid w:val="002A2C81"/>
    <w:rsid w:val="002A362F"/>
    <w:rsid w:val="002A364A"/>
    <w:rsid w:val="002A405A"/>
    <w:rsid w:val="002A5476"/>
    <w:rsid w:val="002A5A01"/>
    <w:rsid w:val="002A6DE2"/>
    <w:rsid w:val="002A6F57"/>
    <w:rsid w:val="002A73E8"/>
    <w:rsid w:val="002B073A"/>
    <w:rsid w:val="002B0E53"/>
    <w:rsid w:val="002B3251"/>
    <w:rsid w:val="002B360A"/>
    <w:rsid w:val="002B3D1A"/>
    <w:rsid w:val="002C14AA"/>
    <w:rsid w:val="002C25FF"/>
    <w:rsid w:val="002C264F"/>
    <w:rsid w:val="002C2C9B"/>
    <w:rsid w:val="002C60E3"/>
    <w:rsid w:val="002D091E"/>
    <w:rsid w:val="002D0F66"/>
    <w:rsid w:val="002D17D6"/>
    <w:rsid w:val="002D18D7"/>
    <w:rsid w:val="002D21CE"/>
    <w:rsid w:val="002D29D4"/>
    <w:rsid w:val="002D43BF"/>
    <w:rsid w:val="002D584E"/>
    <w:rsid w:val="002D6E21"/>
    <w:rsid w:val="002D7A45"/>
    <w:rsid w:val="002E3DA3"/>
    <w:rsid w:val="002E450F"/>
    <w:rsid w:val="002E5369"/>
    <w:rsid w:val="002E6B38"/>
    <w:rsid w:val="002E6D63"/>
    <w:rsid w:val="002E6E2B"/>
    <w:rsid w:val="002E7501"/>
    <w:rsid w:val="002F05F9"/>
    <w:rsid w:val="002F0663"/>
    <w:rsid w:val="002F0874"/>
    <w:rsid w:val="002F2253"/>
    <w:rsid w:val="002F45B3"/>
    <w:rsid w:val="002F500B"/>
    <w:rsid w:val="002F5763"/>
    <w:rsid w:val="002F7A20"/>
    <w:rsid w:val="002F7DF9"/>
    <w:rsid w:val="00301959"/>
    <w:rsid w:val="00302F92"/>
    <w:rsid w:val="003030BA"/>
    <w:rsid w:val="0030404A"/>
    <w:rsid w:val="003047BF"/>
    <w:rsid w:val="00304952"/>
    <w:rsid w:val="00305B8A"/>
    <w:rsid w:val="00305BAD"/>
    <w:rsid w:val="0030776F"/>
    <w:rsid w:val="00310123"/>
    <w:rsid w:val="0031266D"/>
    <w:rsid w:val="003148D6"/>
    <w:rsid w:val="00316EC7"/>
    <w:rsid w:val="0032285B"/>
    <w:rsid w:val="00323C94"/>
    <w:rsid w:val="00324193"/>
    <w:rsid w:val="00325F38"/>
    <w:rsid w:val="00331BF9"/>
    <w:rsid w:val="00332762"/>
    <w:rsid w:val="00333BDE"/>
    <w:rsid w:val="0033495E"/>
    <w:rsid w:val="00334A79"/>
    <w:rsid w:val="00334D8D"/>
    <w:rsid w:val="00336986"/>
    <w:rsid w:val="0033722F"/>
    <w:rsid w:val="00337345"/>
    <w:rsid w:val="00337DD2"/>
    <w:rsid w:val="003404D1"/>
    <w:rsid w:val="00340793"/>
    <w:rsid w:val="00340CAB"/>
    <w:rsid w:val="0034397E"/>
    <w:rsid w:val="00343D00"/>
    <w:rsid w:val="003443FF"/>
    <w:rsid w:val="003457FE"/>
    <w:rsid w:val="00345E30"/>
    <w:rsid w:val="0034619F"/>
    <w:rsid w:val="00351B59"/>
    <w:rsid w:val="0035438B"/>
    <w:rsid w:val="00355808"/>
    <w:rsid w:val="00362C7E"/>
    <w:rsid w:val="003633CA"/>
    <w:rsid w:val="00363601"/>
    <w:rsid w:val="00364DCF"/>
    <w:rsid w:val="0037078D"/>
    <w:rsid w:val="003712A2"/>
    <w:rsid w:val="00373A83"/>
    <w:rsid w:val="00376294"/>
    <w:rsid w:val="00376AC9"/>
    <w:rsid w:val="00380232"/>
    <w:rsid w:val="0038027A"/>
    <w:rsid w:val="003807AB"/>
    <w:rsid w:val="0038351A"/>
    <w:rsid w:val="00383BDC"/>
    <w:rsid w:val="003842D3"/>
    <w:rsid w:val="003847E9"/>
    <w:rsid w:val="003859C1"/>
    <w:rsid w:val="00385E09"/>
    <w:rsid w:val="00385E98"/>
    <w:rsid w:val="00386E1B"/>
    <w:rsid w:val="00386F2D"/>
    <w:rsid w:val="003907D3"/>
    <w:rsid w:val="003908FC"/>
    <w:rsid w:val="003912FD"/>
    <w:rsid w:val="00393032"/>
    <w:rsid w:val="003942C7"/>
    <w:rsid w:val="00394B69"/>
    <w:rsid w:val="00394F69"/>
    <w:rsid w:val="003963FE"/>
    <w:rsid w:val="00397077"/>
    <w:rsid w:val="00397078"/>
    <w:rsid w:val="003A22A4"/>
    <w:rsid w:val="003A3C80"/>
    <w:rsid w:val="003A6430"/>
    <w:rsid w:val="003A6953"/>
    <w:rsid w:val="003A7CE4"/>
    <w:rsid w:val="003B015C"/>
    <w:rsid w:val="003B15E0"/>
    <w:rsid w:val="003B25B4"/>
    <w:rsid w:val="003B2874"/>
    <w:rsid w:val="003B3471"/>
    <w:rsid w:val="003B5C9D"/>
    <w:rsid w:val="003B600D"/>
    <w:rsid w:val="003B6083"/>
    <w:rsid w:val="003B6F90"/>
    <w:rsid w:val="003C0426"/>
    <w:rsid w:val="003C293A"/>
    <w:rsid w:val="003C3838"/>
    <w:rsid w:val="003C42B3"/>
    <w:rsid w:val="003C45DC"/>
    <w:rsid w:val="003C480B"/>
    <w:rsid w:val="003C5847"/>
    <w:rsid w:val="003C5BE7"/>
    <w:rsid w:val="003C6647"/>
    <w:rsid w:val="003C6CC9"/>
    <w:rsid w:val="003D0535"/>
    <w:rsid w:val="003D0681"/>
    <w:rsid w:val="003D12F6"/>
    <w:rsid w:val="003D1426"/>
    <w:rsid w:val="003D2F09"/>
    <w:rsid w:val="003D2F32"/>
    <w:rsid w:val="003D345C"/>
    <w:rsid w:val="003D3684"/>
    <w:rsid w:val="003D4769"/>
    <w:rsid w:val="003E2A0A"/>
    <w:rsid w:val="003E2F4E"/>
    <w:rsid w:val="003E3BC3"/>
    <w:rsid w:val="003E5098"/>
    <w:rsid w:val="003E5726"/>
    <w:rsid w:val="003E720A"/>
    <w:rsid w:val="003F1787"/>
    <w:rsid w:val="003F2C72"/>
    <w:rsid w:val="003F320B"/>
    <w:rsid w:val="003F3A21"/>
    <w:rsid w:val="003F572A"/>
    <w:rsid w:val="003F6079"/>
    <w:rsid w:val="003F7503"/>
    <w:rsid w:val="00402D6A"/>
    <w:rsid w:val="00403093"/>
    <w:rsid w:val="004030C9"/>
    <w:rsid w:val="00403D44"/>
    <w:rsid w:val="00403E6E"/>
    <w:rsid w:val="00406791"/>
    <w:rsid w:val="00407D54"/>
    <w:rsid w:val="00410C66"/>
    <w:rsid w:val="004129B4"/>
    <w:rsid w:val="004142E0"/>
    <w:rsid w:val="004143EC"/>
    <w:rsid w:val="004156D7"/>
    <w:rsid w:val="0041590D"/>
    <w:rsid w:val="0041712A"/>
    <w:rsid w:val="00417573"/>
    <w:rsid w:val="004179D1"/>
    <w:rsid w:val="00417EF0"/>
    <w:rsid w:val="00420DAA"/>
    <w:rsid w:val="00422181"/>
    <w:rsid w:val="00423820"/>
    <w:rsid w:val="00423E01"/>
    <w:rsid w:val="004244A8"/>
    <w:rsid w:val="00424BEB"/>
    <w:rsid w:val="00425E75"/>
    <w:rsid w:val="00425F72"/>
    <w:rsid w:val="00427736"/>
    <w:rsid w:val="00430E46"/>
    <w:rsid w:val="00432647"/>
    <w:rsid w:val="004336B1"/>
    <w:rsid w:val="004350EF"/>
    <w:rsid w:val="00435A41"/>
    <w:rsid w:val="00435DAE"/>
    <w:rsid w:val="00437FCD"/>
    <w:rsid w:val="004408DB"/>
    <w:rsid w:val="00441787"/>
    <w:rsid w:val="004426B0"/>
    <w:rsid w:val="00444C58"/>
    <w:rsid w:val="00444F2D"/>
    <w:rsid w:val="00451916"/>
    <w:rsid w:val="00451C14"/>
    <w:rsid w:val="00451C17"/>
    <w:rsid w:val="00452034"/>
    <w:rsid w:val="00452C1F"/>
    <w:rsid w:val="0045331A"/>
    <w:rsid w:val="00453EBB"/>
    <w:rsid w:val="00453F43"/>
    <w:rsid w:val="00454F7D"/>
    <w:rsid w:val="00455997"/>
    <w:rsid w:val="00455FA6"/>
    <w:rsid w:val="00456CD4"/>
    <w:rsid w:val="00457625"/>
    <w:rsid w:val="00457910"/>
    <w:rsid w:val="0046014B"/>
    <w:rsid w:val="00461E00"/>
    <w:rsid w:val="0046254D"/>
    <w:rsid w:val="00462A2E"/>
    <w:rsid w:val="004637DB"/>
    <w:rsid w:val="00463B90"/>
    <w:rsid w:val="00463E1B"/>
    <w:rsid w:val="00464656"/>
    <w:rsid w:val="00464BE7"/>
    <w:rsid w:val="004656AD"/>
    <w:rsid w:val="00466C70"/>
    <w:rsid w:val="004702C9"/>
    <w:rsid w:val="00470758"/>
    <w:rsid w:val="00470986"/>
    <w:rsid w:val="00472E45"/>
    <w:rsid w:val="00473818"/>
    <w:rsid w:val="00473FEA"/>
    <w:rsid w:val="00474D40"/>
    <w:rsid w:val="00474E07"/>
    <w:rsid w:val="0047579D"/>
    <w:rsid w:val="00475CE3"/>
    <w:rsid w:val="004765E0"/>
    <w:rsid w:val="00483262"/>
    <w:rsid w:val="0048366E"/>
    <w:rsid w:val="00484107"/>
    <w:rsid w:val="00485CC5"/>
    <w:rsid w:val="00485E63"/>
    <w:rsid w:val="00490EB0"/>
    <w:rsid w:val="0049343F"/>
    <w:rsid w:val="00493807"/>
    <w:rsid w:val="004948BC"/>
    <w:rsid w:val="004964FC"/>
    <w:rsid w:val="004A145E"/>
    <w:rsid w:val="004A1CAC"/>
    <w:rsid w:val="004A1F15"/>
    <w:rsid w:val="004A2012"/>
    <w:rsid w:val="004A2A81"/>
    <w:rsid w:val="004A41A3"/>
    <w:rsid w:val="004A570B"/>
    <w:rsid w:val="004A5B6C"/>
    <w:rsid w:val="004A7BD7"/>
    <w:rsid w:val="004B1D7B"/>
    <w:rsid w:val="004B2B36"/>
    <w:rsid w:val="004B45CB"/>
    <w:rsid w:val="004B7D4A"/>
    <w:rsid w:val="004C0AED"/>
    <w:rsid w:val="004C15C2"/>
    <w:rsid w:val="004C1F46"/>
    <w:rsid w:val="004C2166"/>
    <w:rsid w:val="004C24C1"/>
    <w:rsid w:val="004C35EC"/>
    <w:rsid w:val="004C36D8"/>
    <w:rsid w:val="004C48BD"/>
    <w:rsid w:val="004C5F0A"/>
    <w:rsid w:val="004C6FA1"/>
    <w:rsid w:val="004D0683"/>
    <w:rsid w:val="004D1248"/>
    <w:rsid w:val="004D1E3C"/>
    <w:rsid w:val="004D23A4"/>
    <w:rsid w:val="004D4169"/>
    <w:rsid w:val="004D42DE"/>
    <w:rsid w:val="004D5B36"/>
    <w:rsid w:val="004D5D5F"/>
    <w:rsid w:val="004D6E14"/>
    <w:rsid w:val="004D7BBC"/>
    <w:rsid w:val="004E064E"/>
    <w:rsid w:val="004E41D1"/>
    <w:rsid w:val="004E4B73"/>
    <w:rsid w:val="004E51A8"/>
    <w:rsid w:val="004E5B11"/>
    <w:rsid w:val="004E60A5"/>
    <w:rsid w:val="004E657F"/>
    <w:rsid w:val="004F05BD"/>
    <w:rsid w:val="004F16EB"/>
    <w:rsid w:val="004F22CE"/>
    <w:rsid w:val="004F29FD"/>
    <w:rsid w:val="004F3601"/>
    <w:rsid w:val="004F4C11"/>
    <w:rsid w:val="004F4E17"/>
    <w:rsid w:val="004F6382"/>
    <w:rsid w:val="004F74A7"/>
    <w:rsid w:val="0050082F"/>
    <w:rsid w:val="00500C56"/>
    <w:rsid w:val="00501262"/>
    <w:rsid w:val="00501713"/>
    <w:rsid w:val="0050407E"/>
    <w:rsid w:val="00504223"/>
    <w:rsid w:val="00504D52"/>
    <w:rsid w:val="00505A8F"/>
    <w:rsid w:val="00506568"/>
    <w:rsid w:val="005077DC"/>
    <w:rsid w:val="00507ED5"/>
    <w:rsid w:val="0051001A"/>
    <w:rsid w:val="00510CD8"/>
    <w:rsid w:val="0051430D"/>
    <w:rsid w:val="0051551B"/>
    <w:rsid w:val="00516764"/>
    <w:rsid w:val="00520208"/>
    <w:rsid w:val="00520C57"/>
    <w:rsid w:val="00520CF7"/>
    <w:rsid w:val="00521C76"/>
    <w:rsid w:val="005225BA"/>
    <w:rsid w:val="00522D94"/>
    <w:rsid w:val="005230AC"/>
    <w:rsid w:val="005244FF"/>
    <w:rsid w:val="00526BC9"/>
    <w:rsid w:val="00527094"/>
    <w:rsid w:val="005279C1"/>
    <w:rsid w:val="00531A80"/>
    <w:rsid w:val="00531E76"/>
    <w:rsid w:val="0053269E"/>
    <w:rsid w:val="005330F3"/>
    <w:rsid w:val="005332CA"/>
    <w:rsid w:val="0053368D"/>
    <w:rsid w:val="005339EC"/>
    <w:rsid w:val="00533D89"/>
    <w:rsid w:val="00535486"/>
    <w:rsid w:val="005356D7"/>
    <w:rsid w:val="005356EA"/>
    <w:rsid w:val="00536564"/>
    <w:rsid w:val="00537804"/>
    <w:rsid w:val="00540D79"/>
    <w:rsid w:val="00541AEA"/>
    <w:rsid w:val="00543B1D"/>
    <w:rsid w:val="00544597"/>
    <w:rsid w:val="00544DEA"/>
    <w:rsid w:val="00544FFE"/>
    <w:rsid w:val="005473F5"/>
    <w:rsid w:val="005477E7"/>
    <w:rsid w:val="00551C05"/>
    <w:rsid w:val="00552794"/>
    <w:rsid w:val="005548D3"/>
    <w:rsid w:val="00554A68"/>
    <w:rsid w:val="00554DCC"/>
    <w:rsid w:val="00563199"/>
    <w:rsid w:val="005631B1"/>
    <w:rsid w:val="00563988"/>
    <w:rsid w:val="00564874"/>
    <w:rsid w:val="00565855"/>
    <w:rsid w:val="00566E7B"/>
    <w:rsid w:val="00567963"/>
    <w:rsid w:val="0057009A"/>
    <w:rsid w:val="00570E30"/>
    <w:rsid w:val="00571260"/>
    <w:rsid w:val="0057189C"/>
    <w:rsid w:val="00571FEC"/>
    <w:rsid w:val="00572304"/>
    <w:rsid w:val="005731AE"/>
    <w:rsid w:val="00573FC1"/>
    <w:rsid w:val="005741EE"/>
    <w:rsid w:val="00575D29"/>
    <w:rsid w:val="0057668E"/>
    <w:rsid w:val="00576A0F"/>
    <w:rsid w:val="00580F1F"/>
    <w:rsid w:val="005843AE"/>
    <w:rsid w:val="00584832"/>
    <w:rsid w:val="00585458"/>
    <w:rsid w:val="00586D62"/>
    <w:rsid w:val="005909C3"/>
    <w:rsid w:val="00591541"/>
    <w:rsid w:val="00592CF2"/>
    <w:rsid w:val="00593D70"/>
    <w:rsid w:val="0059422C"/>
    <w:rsid w:val="00595E83"/>
    <w:rsid w:val="00596530"/>
    <w:rsid w:val="005967F3"/>
    <w:rsid w:val="005A06DF"/>
    <w:rsid w:val="005A14AB"/>
    <w:rsid w:val="005A3E01"/>
    <w:rsid w:val="005A3FD3"/>
    <w:rsid w:val="005A5527"/>
    <w:rsid w:val="005A5AE6"/>
    <w:rsid w:val="005A5AF3"/>
    <w:rsid w:val="005A6D1C"/>
    <w:rsid w:val="005A75E7"/>
    <w:rsid w:val="005B1206"/>
    <w:rsid w:val="005B1C7E"/>
    <w:rsid w:val="005B37E8"/>
    <w:rsid w:val="005B3900"/>
    <w:rsid w:val="005B5552"/>
    <w:rsid w:val="005B57D1"/>
    <w:rsid w:val="005B6606"/>
    <w:rsid w:val="005B7636"/>
    <w:rsid w:val="005C0056"/>
    <w:rsid w:val="005C404C"/>
    <w:rsid w:val="005C52CE"/>
    <w:rsid w:val="005C576A"/>
    <w:rsid w:val="005C7D75"/>
    <w:rsid w:val="005C7D7E"/>
    <w:rsid w:val="005D0FC1"/>
    <w:rsid w:val="005D1F35"/>
    <w:rsid w:val="005D2446"/>
    <w:rsid w:val="005D3FD9"/>
    <w:rsid w:val="005D65E5"/>
    <w:rsid w:val="005D7D41"/>
    <w:rsid w:val="005E0D13"/>
    <w:rsid w:val="005E31E1"/>
    <w:rsid w:val="005E3F3A"/>
    <w:rsid w:val="005E4525"/>
    <w:rsid w:val="005E5047"/>
    <w:rsid w:val="005E7179"/>
    <w:rsid w:val="005E7205"/>
    <w:rsid w:val="005E7371"/>
    <w:rsid w:val="005E7D49"/>
    <w:rsid w:val="005E7EDD"/>
    <w:rsid w:val="005F092F"/>
    <w:rsid w:val="005F116C"/>
    <w:rsid w:val="005F2131"/>
    <w:rsid w:val="005F6348"/>
    <w:rsid w:val="005F63EE"/>
    <w:rsid w:val="005F6F14"/>
    <w:rsid w:val="005F729B"/>
    <w:rsid w:val="005F7500"/>
    <w:rsid w:val="00601277"/>
    <w:rsid w:val="0060442D"/>
    <w:rsid w:val="006045B1"/>
    <w:rsid w:val="00605EF6"/>
    <w:rsid w:val="00606455"/>
    <w:rsid w:val="00607869"/>
    <w:rsid w:val="00611134"/>
    <w:rsid w:val="00611BDA"/>
    <w:rsid w:val="00611D1F"/>
    <w:rsid w:val="006122FC"/>
    <w:rsid w:val="00613992"/>
    <w:rsid w:val="00614838"/>
    <w:rsid w:val="00614929"/>
    <w:rsid w:val="00616511"/>
    <w:rsid w:val="006165B3"/>
    <w:rsid w:val="006176ED"/>
    <w:rsid w:val="00617896"/>
    <w:rsid w:val="006202F3"/>
    <w:rsid w:val="006203F8"/>
    <w:rsid w:val="0062097A"/>
    <w:rsid w:val="006216CF"/>
    <w:rsid w:val="00621D07"/>
    <w:rsid w:val="00621DA6"/>
    <w:rsid w:val="00622D25"/>
    <w:rsid w:val="00623354"/>
    <w:rsid w:val="00623CFE"/>
    <w:rsid w:val="006244B6"/>
    <w:rsid w:val="0062557B"/>
    <w:rsid w:val="00625777"/>
    <w:rsid w:val="00627221"/>
    <w:rsid w:val="006275ED"/>
    <w:rsid w:val="00627EE8"/>
    <w:rsid w:val="006316FA"/>
    <w:rsid w:val="00634329"/>
    <w:rsid w:val="006349B3"/>
    <w:rsid w:val="00635368"/>
    <w:rsid w:val="006355C1"/>
    <w:rsid w:val="00636CF0"/>
    <w:rsid w:val="006370D2"/>
    <w:rsid w:val="00637380"/>
    <w:rsid w:val="0064065C"/>
    <w:rsid w:val="0064074F"/>
    <w:rsid w:val="00641F55"/>
    <w:rsid w:val="00641F7B"/>
    <w:rsid w:val="00645CFB"/>
    <w:rsid w:val="00645E4A"/>
    <w:rsid w:val="00650FC7"/>
    <w:rsid w:val="00652682"/>
    <w:rsid w:val="00653688"/>
    <w:rsid w:val="00656282"/>
    <w:rsid w:val="00656317"/>
    <w:rsid w:val="00657020"/>
    <w:rsid w:val="00657467"/>
    <w:rsid w:val="0066091B"/>
    <w:rsid w:val="006621B3"/>
    <w:rsid w:val="006629BC"/>
    <w:rsid w:val="00662EC8"/>
    <w:rsid w:val="006644E6"/>
    <w:rsid w:val="00665F06"/>
    <w:rsid w:val="006660E9"/>
    <w:rsid w:val="00666C47"/>
    <w:rsid w:val="00667249"/>
    <w:rsid w:val="00667558"/>
    <w:rsid w:val="00670696"/>
    <w:rsid w:val="00671523"/>
    <w:rsid w:val="0067424A"/>
    <w:rsid w:val="0067483E"/>
    <w:rsid w:val="006751EB"/>
    <w:rsid w:val="006754EF"/>
    <w:rsid w:val="006756F1"/>
    <w:rsid w:val="006758ED"/>
    <w:rsid w:val="00676C8D"/>
    <w:rsid w:val="00676F1F"/>
    <w:rsid w:val="00677381"/>
    <w:rsid w:val="00677414"/>
    <w:rsid w:val="006776F2"/>
    <w:rsid w:val="0068022F"/>
    <w:rsid w:val="00681123"/>
    <w:rsid w:val="00681214"/>
    <w:rsid w:val="00681DB0"/>
    <w:rsid w:val="00682348"/>
    <w:rsid w:val="006829FD"/>
    <w:rsid w:val="00682C7E"/>
    <w:rsid w:val="006832CF"/>
    <w:rsid w:val="00683FC1"/>
    <w:rsid w:val="006850CD"/>
    <w:rsid w:val="006858D7"/>
    <w:rsid w:val="0068601E"/>
    <w:rsid w:val="006864D8"/>
    <w:rsid w:val="00687A4F"/>
    <w:rsid w:val="00687B6D"/>
    <w:rsid w:val="00693DB6"/>
    <w:rsid w:val="0069486B"/>
    <w:rsid w:val="00696D33"/>
    <w:rsid w:val="006A01A1"/>
    <w:rsid w:val="006A071B"/>
    <w:rsid w:val="006A07A3"/>
    <w:rsid w:val="006A0BDE"/>
    <w:rsid w:val="006A16C4"/>
    <w:rsid w:val="006A4904"/>
    <w:rsid w:val="006A49CF"/>
    <w:rsid w:val="006A548F"/>
    <w:rsid w:val="006A5D13"/>
    <w:rsid w:val="006A6A54"/>
    <w:rsid w:val="006A701A"/>
    <w:rsid w:val="006B13E8"/>
    <w:rsid w:val="006B32C1"/>
    <w:rsid w:val="006B3C91"/>
    <w:rsid w:val="006B3CAD"/>
    <w:rsid w:val="006B52B0"/>
    <w:rsid w:val="006B6148"/>
    <w:rsid w:val="006B64DC"/>
    <w:rsid w:val="006B64F6"/>
    <w:rsid w:val="006B6AD1"/>
    <w:rsid w:val="006B7A91"/>
    <w:rsid w:val="006C03CF"/>
    <w:rsid w:val="006C10F2"/>
    <w:rsid w:val="006C278F"/>
    <w:rsid w:val="006C38A0"/>
    <w:rsid w:val="006C74BF"/>
    <w:rsid w:val="006D0A4D"/>
    <w:rsid w:val="006D0AA2"/>
    <w:rsid w:val="006D0DDF"/>
    <w:rsid w:val="006D15F1"/>
    <w:rsid w:val="006D2DC8"/>
    <w:rsid w:val="006D38D6"/>
    <w:rsid w:val="006D4704"/>
    <w:rsid w:val="006D5EF7"/>
    <w:rsid w:val="006D62C8"/>
    <w:rsid w:val="006D6A2D"/>
    <w:rsid w:val="006D71D1"/>
    <w:rsid w:val="006E065E"/>
    <w:rsid w:val="006E0727"/>
    <w:rsid w:val="006E1CBB"/>
    <w:rsid w:val="006E1E18"/>
    <w:rsid w:val="006E1ED3"/>
    <w:rsid w:val="006E2AF2"/>
    <w:rsid w:val="006E3002"/>
    <w:rsid w:val="006E31CE"/>
    <w:rsid w:val="006E34D3"/>
    <w:rsid w:val="006E3AC4"/>
    <w:rsid w:val="006E3F6C"/>
    <w:rsid w:val="006E415F"/>
    <w:rsid w:val="006E41AD"/>
    <w:rsid w:val="006E571C"/>
    <w:rsid w:val="006E66A2"/>
    <w:rsid w:val="006F0123"/>
    <w:rsid w:val="006F0E6D"/>
    <w:rsid w:val="006F111F"/>
    <w:rsid w:val="006F1435"/>
    <w:rsid w:val="006F213F"/>
    <w:rsid w:val="006F25E1"/>
    <w:rsid w:val="006F27F6"/>
    <w:rsid w:val="006F3E3F"/>
    <w:rsid w:val="006F47D7"/>
    <w:rsid w:val="006F4AFD"/>
    <w:rsid w:val="006F4D08"/>
    <w:rsid w:val="006F78C4"/>
    <w:rsid w:val="006F7F78"/>
    <w:rsid w:val="00700695"/>
    <w:rsid w:val="007015C7"/>
    <w:rsid w:val="007019E8"/>
    <w:rsid w:val="00702C46"/>
    <w:rsid w:val="007031A0"/>
    <w:rsid w:val="00703426"/>
    <w:rsid w:val="00703A97"/>
    <w:rsid w:val="00704507"/>
    <w:rsid w:val="00704BE1"/>
    <w:rsid w:val="00705523"/>
    <w:rsid w:val="00705A29"/>
    <w:rsid w:val="00706487"/>
    <w:rsid w:val="0070681C"/>
    <w:rsid w:val="00707498"/>
    <w:rsid w:val="007102F0"/>
    <w:rsid w:val="00711A65"/>
    <w:rsid w:val="00714133"/>
    <w:rsid w:val="00714DA4"/>
    <w:rsid w:val="007155FC"/>
    <w:rsid w:val="007158B2"/>
    <w:rsid w:val="00716081"/>
    <w:rsid w:val="0071630A"/>
    <w:rsid w:val="007167BC"/>
    <w:rsid w:val="00717080"/>
    <w:rsid w:val="007204CD"/>
    <w:rsid w:val="00722B48"/>
    <w:rsid w:val="00724164"/>
    <w:rsid w:val="007241D9"/>
    <w:rsid w:val="007241E6"/>
    <w:rsid w:val="00725046"/>
    <w:rsid w:val="00725DE7"/>
    <w:rsid w:val="0072636A"/>
    <w:rsid w:val="007269A5"/>
    <w:rsid w:val="00726B44"/>
    <w:rsid w:val="00731094"/>
    <w:rsid w:val="007318DD"/>
    <w:rsid w:val="00731B85"/>
    <w:rsid w:val="00731D01"/>
    <w:rsid w:val="0073234B"/>
    <w:rsid w:val="00732DFD"/>
    <w:rsid w:val="0073306C"/>
    <w:rsid w:val="00733167"/>
    <w:rsid w:val="00736B69"/>
    <w:rsid w:val="00740D2C"/>
    <w:rsid w:val="00744BF9"/>
    <w:rsid w:val="00746BBF"/>
    <w:rsid w:val="00750E39"/>
    <w:rsid w:val="00751A47"/>
    <w:rsid w:val="00752623"/>
    <w:rsid w:val="00753BC6"/>
    <w:rsid w:val="007554CA"/>
    <w:rsid w:val="007555D5"/>
    <w:rsid w:val="00755754"/>
    <w:rsid w:val="00760F1F"/>
    <w:rsid w:val="00761ADC"/>
    <w:rsid w:val="00763D1F"/>
    <w:rsid w:val="0076423E"/>
    <w:rsid w:val="007646CB"/>
    <w:rsid w:val="00764FB5"/>
    <w:rsid w:val="0076658F"/>
    <w:rsid w:val="007666C4"/>
    <w:rsid w:val="0077040A"/>
    <w:rsid w:val="00772D64"/>
    <w:rsid w:val="00773B0E"/>
    <w:rsid w:val="00774545"/>
    <w:rsid w:val="007756B2"/>
    <w:rsid w:val="007756D2"/>
    <w:rsid w:val="00776067"/>
    <w:rsid w:val="007807B5"/>
    <w:rsid w:val="00780ED9"/>
    <w:rsid w:val="00781179"/>
    <w:rsid w:val="00781735"/>
    <w:rsid w:val="00783018"/>
    <w:rsid w:val="00783B86"/>
    <w:rsid w:val="0078411D"/>
    <w:rsid w:val="0078464F"/>
    <w:rsid w:val="007870CB"/>
    <w:rsid w:val="00787CC8"/>
    <w:rsid w:val="00790D58"/>
    <w:rsid w:val="007916FF"/>
    <w:rsid w:val="00792609"/>
    <w:rsid w:val="00792907"/>
    <w:rsid w:val="007938F7"/>
    <w:rsid w:val="007941FB"/>
    <w:rsid w:val="007943E2"/>
    <w:rsid w:val="00794474"/>
    <w:rsid w:val="00794E5B"/>
    <w:rsid w:val="00794F2C"/>
    <w:rsid w:val="0079653E"/>
    <w:rsid w:val="00797237"/>
    <w:rsid w:val="00797EDD"/>
    <w:rsid w:val="007A03B6"/>
    <w:rsid w:val="007A27DD"/>
    <w:rsid w:val="007A3BC7"/>
    <w:rsid w:val="007A580C"/>
    <w:rsid w:val="007A5AC4"/>
    <w:rsid w:val="007A5AD8"/>
    <w:rsid w:val="007A744D"/>
    <w:rsid w:val="007B0FDD"/>
    <w:rsid w:val="007B120D"/>
    <w:rsid w:val="007B15EB"/>
    <w:rsid w:val="007B17A7"/>
    <w:rsid w:val="007B2A15"/>
    <w:rsid w:val="007B2B06"/>
    <w:rsid w:val="007B2BEC"/>
    <w:rsid w:val="007B2EBA"/>
    <w:rsid w:val="007B3148"/>
    <w:rsid w:val="007B31C8"/>
    <w:rsid w:val="007B3B13"/>
    <w:rsid w:val="007B4802"/>
    <w:rsid w:val="007B6668"/>
    <w:rsid w:val="007B6B33"/>
    <w:rsid w:val="007C0885"/>
    <w:rsid w:val="007C110D"/>
    <w:rsid w:val="007C1D29"/>
    <w:rsid w:val="007C2701"/>
    <w:rsid w:val="007C321F"/>
    <w:rsid w:val="007C3B46"/>
    <w:rsid w:val="007C4B3E"/>
    <w:rsid w:val="007C5514"/>
    <w:rsid w:val="007C61CB"/>
    <w:rsid w:val="007D06A7"/>
    <w:rsid w:val="007D2192"/>
    <w:rsid w:val="007D238D"/>
    <w:rsid w:val="007D34C1"/>
    <w:rsid w:val="007D4499"/>
    <w:rsid w:val="007D63E2"/>
    <w:rsid w:val="007D697A"/>
    <w:rsid w:val="007E02F3"/>
    <w:rsid w:val="007E0CBD"/>
    <w:rsid w:val="007E3C2A"/>
    <w:rsid w:val="007E5C52"/>
    <w:rsid w:val="007E5D19"/>
    <w:rsid w:val="007E60D7"/>
    <w:rsid w:val="007E68BB"/>
    <w:rsid w:val="007E7842"/>
    <w:rsid w:val="007F0021"/>
    <w:rsid w:val="007F06DD"/>
    <w:rsid w:val="007F13D4"/>
    <w:rsid w:val="007F2F52"/>
    <w:rsid w:val="007F499F"/>
    <w:rsid w:val="007F4FEF"/>
    <w:rsid w:val="007F5BB9"/>
    <w:rsid w:val="007F747B"/>
    <w:rsid w:val="007F7ACC"/>
    <w:rsid w:val="0080083B"/>
    <w:rsid w:val="00800F72"/>
    <w:rsid w:val="00803BD2"/>
    <w:rsid w:val="00803D88"/>
    <w:rsid w:val="00805F28"/>
    <w:rsid w:val="008063E8"/>
    <w:rsid w:val="00806B4D"/>
    <w:rsid w:val="0080749F"/>
    <w:rsid w:val="00810247"/>
    <w:rsid w:val="00811D46"/>
    <w:rsid w:val="00811E1C"/>
    <w:rsid w:val="008125B0"/>
    <w:rsid w:val="0081333E"/>
    <w:rsid w:val="00813C4C"/>
    <w:rsid w:val="0081421E"/>
    <w:rsid w:val="008144CB"/>
    <w:rsid w:val="00814D23"/>
    <w:rsid w:val="00817CDA"/>
    <w:rsid w:val="00821717"/>
    <w:rsid w:val="008222AD"/>
    <w:rsid w:val="00823F3D"/>
    <w:rsid w:val="00824210"/>
    <w:rsid w:val="008244A0"/>
    <w:rsid w:val="0082466D"/>
    <w:rsid w:val="00824B66"/>
    <w:rsid w:val="00824E57"/>
    <w:rsid w:val="00825973"/>
    <w:rsid w:val="008263C0"/>
    <w:rsid w:val="00830C4C"/>
    <w:rsid w:val="0083127A"/>
    <w:rsid w:val="00833716"/>
    <w:rsid w:val="00835F6B"/>
    <w:rsid w:val="00836D54"/>
    <w:rsid w:val="00840F8E"/>
    <w:rsid w:val="00841422"/>
    <w:rsid w:val="00841D3B"/>
    <w:rsid w:val="0084314C"/>
    <w:rsid w:val="00843171"/>
    <w:rsid w:val="0084400B"/>
    <w:rsid w:val="008441AD"/>
    <w:rsid w:val="0084435C"/>
    <w:rsid w:val="00844467"/>
    <w:rsid w:val="00844992"/>
    <w:rsid w:val="00845077"/>
    <w:rsid w:val="008451F6"/>
    <w:rsid w:val="0084669C"/>
    <w:rsid w:val="00850823"/>
    <w:rsid w:val="0085157B"/>
    <w:rsid w:val="00851EE4"/>
    <w:rsid w:val="00851F16"/>
    <w:rsid w:val="00855569"/>
    <w:rsid w:val="00855903"/>
    <w:rsid w:val="0085625C"/>
    <w:rsid w:val="00856895"/>
    <w:rsid w:val="008575C3"/>
    <w:rsid w:val="00857CFC"/>
    <w:rsid w:val="0086088D"/>
    <w:rsid w:val="00860E50"/>
    <w:rsid w:val="00860EDC"/>
    <w:rsid w:val="00861913"/>
    <w:rsid w:val="00863006"/>
    <w:rsid w:val="00863D28"/>
    <w:rsid w:val="00864074"/>
    <w:rsid w:val="008648C3"/>
    <w:rsid w:val="008653EE"/>
    <w:rsid w:val="00866D00"/>
    <w:rsid w:val="00867363"/>
    <w:rsid w:val="00867A9C"/>
    <w:rsid w:val="00871B84"/>
    <w:rsid w:val="00871C26"/>
    <w:rsid w:val="00876915"/>
    <w:rsid w:val="008770B8"/>
    <w:rsid w:val="008804CE"/>
    <w:rsid w:val="00880C1E"/>
    <w:rsid w:val="00880C7F"/>
    <w:rsid w:val="00880F26"/>
    <w:rsid w:val="00881A1C"/>
    <w:rsid w:val="00885DD8"/>
    <w:rsid w:val="0089120E"/>
    <w:rsid w:val="00893BCF"/>
    <w:rsid w:val="00894F00"/>
    <w:rsid w:val="00896C2E"/>
    <w:rsid w:val="008A0FB2"/>
    <w:rsid w:val="008A2797"/>
    <w:rsid w:val="008A3C05"/>
    <w:rsid w:val="008A501D"/>
    <w:rsid w:val="008A5095"/>
    <w:rsid w:val="008A608F"/>
    <w:rsid w:val="008A62B4"/>
    <w:rsid w:val="008A6E73"/>
    <w:rsid w:val="008A6FDC"/>
    <w:rsid w:val="008B050E"/>
    <w:rsid w:val="008B1A63"/>
    <w:rsid w:val="008B1A9A"/>
    <w:rsid w:val="008B22AE"/>
    <w:rsid w:val="008B251D"/>
    <w:rsid w:val="008B26F3"/>
    <w:rsid w:val="008B4FE6"/>
    <w:rsid w:val="008B6C37"/>
    <w:rsid w:val="008B74A7"/>
    <w:rsid w:val="008C049E"/>
    <w:rsid w:val="008C3F13"/>
    <w:rsid w:val="008C4CC8"/>
    <w:rsid w:val="008C67F8"/>
    <w:rsid w:val="008C7581"/>
    <w:rsid w:val="008D1590"/>
    <w:rsid w:val="008D1D90"/>
    <w:rsid w:val="008D2565"/>
    <w:rsid w:val="008D2C66"/>
    <w:rsid w:val="008D3D44"/>
    <w:rsid w:val="008D4AC5"/>
    <w:rsid w:val="008D50A2"/>
    <w:rsid w:val="008D64B9"/>
    <w:rsid w:val="008D6CE5"/>
    <w:rsid w:val="008D7885"/>
    <w:rsid w:val="008E18F7"/>
    <w:rsid w:val="008E1E10"/>
    <w:rsid w:val="008E230F"/>
    <w:rsid w:val="008E291B"/>
    <w:rsid w:val="008E33A4"/>
    <w:rsid w:val="008E4207"/>
    <w:rsid w:val="008E4F2F"/>
    <w:rsid w:val="008E56BB"/>
    <w:rsid w:val="008E651E"/>
    <w:rsid w:val="008E74B0"/>
    <w:rsid w:val="008E7C21"/>
    <w:rsid w:val="008E7CB8"/>
    <w:rsid w:val="008F2C18"/>
    <w:rsid w:val="008F301D"/>
    <w:rsid w:val="008F367E"/>
    <w:rsid w:val="008F399B"/>
    <w:rsid w:val="008F3E50"/>
    <w:rsid w:val="008F3F8B"/>
    <w:rsid w:val="008F5051"/>
    <w:rsid w:val="008F5286"/>
    <w:rsid w:val="008F6A6A"/>
    <w:rsid w:val="008F7A03"/>
    <w:rsid w:val="00900047"/>
    <w:rsid w:val="009008A8"/>
    <w:rsid w:val="009063B0"/>
    <w:rsid w:val="00906E53"/>
    <w:rsid w:val="00907106"/>
    <w:rsid w:val="009107FD"/>
    <w:rsid w:val="0091137C"/>
    <w:rsid w:val="00911567"/>
    <w:rsid w:val="00911A42"/>
    <w:rsid w:val="009128F6"/>
    <w:rsid w:val="009144FC"/>
    <w:rsid w:val="00917AAE"/>
    <w:rsid w:val="00921139"/>
    <w:rsid w:val="00921D9B"/>
    <w:rsid w:val="009227F2"/>
    <w:rsid w:val="00922D48"/>
    <w:rsid w:val="00923140"/>
    <w:rsid w:val="009249A2"/>
    <w:rsid w:val="00924B07"/>
    <w:rsid w:val="009251A9"/>
    <w:rsid w:val="00926779"/>
    <w:rsid w:val="0092783F"/>
    <w:rsid w:val="00927D4D"/>
    <w:rsid w:val="00930699"/>
    <w:rsid w:val="009316EF"/>
    <w:rsid w:val="00931F69"/>
    <w:rsid w:val="00934123"/>
    <w:rsid w:val="00935FA2"/>
    <w:rsid w:val="0093776B"/>
    <w:rsid w:val="009379AF"/>
    <w:rsid w:val="009410CA"/>
    <w:rsid w:val="00943407"/>
    <w:rsid w:val="00943501"/>
    <w:rsid w:val="009440AB"/>
    <w:rsid w:val="0094460D"/>
    <w:rsid w:val="00945D5E"/>
    <w:rsid w:val="0094641E"/>
    <w:rsid w:val="00947395"/>
    <w:rsid w:val="00947FE4"/>
    <w:rsid w:val="009527DE"/>
    <w:rsid w:val="00952AAE"/>
    <w:rsid w:val="009531E2"/>
    <w:rsid w:val="00953E0C"/>
    <w:rsid w:val="00955534"/>
    <w:rsid w:val="00955774"/>
    <w:rsid w:val="00955C11"/>
    <w:rsid w:val="009560B5"/>
    <w:rsid w:val="00967739"/>
    <w:rsid w:val="00970360"/>
    <w:rsid w:val="009703D6"/>
    <w:rsid w:val="0097181B"/>
    <w:rsid w:val="00976DC5"/>
    <w:rsid w:val="00981187"/>
    <w:rsid w:val="009818C7"/>
    <w:rsid w:val="00982DD4"/>
    <w:rsid w:val="009833EB"/>
    <w:rsid w:val="009841E5"/>
    <w:rsid w:val="00984690"/>
    <w:rsid w:val="0098479F"/>
    <w:rsid w:val="00984A8A"/>
    <w:rsid w:val="009857B6"/>
    <w:rsid w:val="00985A8D"/>
    <w:rsid w:val="00986610"/>
    <w:rsid w:val="00986A3A"/>
    <w:rsid w:val="00986E71"/>
    <w:rsid w:val="009877DC"/>
    <w:rsid w:val="00987BBC"/>
    <w:rsid w:val="00991A37"/>
    <w:rsid w:val="00991F96"/>
    <w:rsid w:val="00992896"/>
    <w:rsid w:val="0099499D"/>
    <w:rsid w:val="00994D37"/>
    <w:rsid w:val="00994EC4"/>
    <w:rsid w:val="00995491"/>
    <w:rsid w:val="00996F0A"/>
    <w:rsid w:val="009A0408"/>
    <w:rsid w:val="009A0537"/>
    <w:rsid w:val="009A1949"/>
    <w:rsid w:val="009A5453"/>
    <w:rsid w:val="009A57C6"/>
    <w:rsid w:val="009A6F1B"/>
    <w:rsid w:val="009A79E4"/>
    <w:rsid w:val="009B049C"/>
    <w:rsid w:val="009B112E"/>
    <w:rsid w:val="009B11C8"/>
    <w:rsid w:val="009B2BCF"/>
    <w:rsid w:val="009B2FF8"/>
    <w:rsid w:val="009B5717"/>
    <w:rsid w:val="009B5BA3"/>
    <w:rsid w:val="009C0CFB"/>
    <w:rsid w:val="009C2924"/>
    <w:rsid w:val="009C2D5A"/>
    <w:rsid w:val="009C3ABB"/>
    <w:rsid w:val="009C42A3"/>
    <w:rsid w:val="009C6EED"/>
    <w:rsid w:val="009C7F35"/>
    <w:rsid w:val="009D0027"/>
    <w:rsid w:val="009D0655"/>
    <w:rsid w:val="009D093D"/>
    <w:rsid w:val="009D1416"/>
    <w:rsid w:val="009D394B"/>
    <w:rsid w:val="009D666A"/>
    <w:rsid w:val="009E16EC"/>
    <w:rsid w:val="009E1E98"/>
    <w:rsid w:val="009E3ABE"/>
    <w:rsid w:val="009E3C4B"/>
    <w:rsid w:val="009E42F3"/>
    <w:rsid w:val="009E51DB"/>
    <w:rsid w:val="009E6B39"/>
    <w:rsid w:val="009F0637"/>
    <w:rsid w:val="009F1315"/>
    <w:rsid w:val="009F44FF"/>
    <w:rsid w:val="009F62A6"/>
    <w:rsid w:val="009F674F"/>
    <w:rsid w:val="009F799E"/>
    <w:rsid w:val="00A002A7"/>
    <w:rsid w:val="00A01083"/>
    <w:rsid w:val="00A011BF"/>
    <w:rsid w:val="00A01D1C"/>
    <w:rsid w:val="00A02020"/>
    <w:rsid w:val="00A056CB"/>
    <w:rsid w:val="00A07A29"/>
    <w:rsid w:val="00A07D1F"/>
    <w:rsid w:val="00A07EC7"/>
    <w:rsid w:val="00A07F8B"/>
    <w:rsid w:val="00A10FF1"/>
    <w:rsid w:val="00A1506B"/>
    <w:rsid w:val="00A16095"/>
    <w:rsid w:val="00A16AEA"/>
    <w:rsid w:val="00A1757C"/>
    <w:rsid w:val="00A17CB2"/>
    <w:rsid w:val="00A2014E"/>
    <w:rsid w:val="00A2210E"/>
    <w:rsid w:val="00A23191"/>
    <w:rsid w:val="00A240F1"/>
    <w:rsid w:val="00A30088"/>
    <w:rsid w:val="00A316B9"/>
    <w:rsid w:val="00A319C0"/>
    <w:rsid w:val="00A32FD5"/>
    <w:rsid w:val="00A33560"/>
    <w:rsid w:val="00A33890"/>
    <w:rsid w:val="00A371A5"/>
    <w:rsid w:val="00A40B6E"/>
    <w:rsid w:val="00A412DD"/>
    <w:rsid w:val="00A42A8D"/>
    <w:rsid w:val="00A433BE"/>
    <w:rsid w:val="00A44017"/>
    <w:rsid w:val="00A4533E"/>
    <w:rsid w:val="00A4611D"/>
    <w:rsid w:val="00A47458"/>
    <w:rsid w:val="00A47998"/>
    <w:rsid w:val="00A479C7"/>
    <w:rsid w:val="00A47BDF"/>
    <w:rsid w:val="00A51CD7"/>
    <w:rsid w:val="00A51F39"/>
    <w:rsid w:val="00A52ADB"/>
    <w:rsid w:val="00A533E8"/>
    <w:rsid w:val="00A542D9"/>
    <w:rsid w:val="00A5463C"/>
    <w:rsid w:val="00A54DF9"/>
    <w:rsid w:val="00A55DB2"/>
    <w:rsid w:val="00A5659A"/>
    <w:rsid w:val="00A56E64"/>
    <w:rsid w:val="00A57D31"/>
    <w:rsid w:val="00A60A34"/>
    <w:rsid w:val="00A624C3"/>
    <w:rsid w:val="00A6278B"/>
    <w:rsid w:val="00A629C7"/>
    <w:rsid w:val="00A6641C"/>
    <w:rsid w:val="00A665EF"/>
    <w:rsid w:val="00A66D15"/>
    <w:rsid w:val="00A739DE"/>
    <w:rsid w:val="00A767D2"/>
    <w:rsid w:val="00A7731E"/>
    <w:rsid w:val="00A77616"/>
    <w:rsid w:val="00A805DA"/>
    <w:rsid w:val="00A80973"/>
    <w:rsid w:val="00A811A3"/>
    <w:rsid w:val="00A811B4"/>
    <w:rsid w:val="00A81DFE"/>
    <w:rsid w:val="00A8305A"/>
    <w:rsid w:val="00A84392"/>
    <w:rsid w:val="00A8451D"/>
    <w:rsid w:val="00A854DD"/>
    <w:rsid w:val="00A87CDE"/>
    <w:rsid w:val="00A90A01"/>
    <w:rsid w:val="00A90EE4"/>
    <w:rsid w:val="00A921A0"/>
    <w:rsid w:val="00A92BAF"/>
    <w:rsid w:val="00A930EE"/>
    <w:rsid w:val="00A94737"/>
    <w:rsid w:val="00A94BA3"/>
    <w:rsid w:val="00A9534F"/>
    <w:rsid w:val="00A96CBA"/>
    <w:rsid w:val="00AA01EE"/>
    <w:rsid w:val="00AA0C3C"/>
    <w:rsid w:val="00AA25B2"/>
    <w:rsid w:val="00AA3D6B"/>
    <w:rsid w:val="00AA50CE"/>
    <w:rsid w:val="00AA5435"/>
    <w:rsid w:val="00AA567A"/>
    <w:rsid w:val="00AA61CD"/>
    <w:rsid w:val="00AA7E31"/>
    <w:rsid w:val="00AB0CE0"/>
    <w:rsid w:val="00AB0EF7"/>
    <w:rsid w:val="00AB1051"/>
    <w:rsid w:val="00AB1ACD"/>
    <w:rsid w:val="00AB2411"/>
    <w:rsid w:val="00AB277F"/>
    <w:rsid w:val="00AB297D"/>
    <w:rsid w:val="00AB398F"/>
    <w:rsid w:val="00AB4099"/>
    <w:rsid w:val="00AB449A"/>
    <w:rsid w:val="00AB5D29"/>
    <w:rsid w:val="00AB6E88"/>
    <w:rsid w:val="00AC4970"/>
    <w:rsid w:val="00AC4A60"/>
    <w:rsid w:val="00AC4CCF"/>
    <w:rsid w:val="00AC561D"/>
    <w:rsid w:val="00AD0CA8"/>
    <w:rsid w:val="00AD14F9"/>
    <w:rsid w:val="00AD1981"/>
    <w:rsid w:val="00AD35D6"/>
    <w:rsid w:val="00AD4975"/>
    <w:rsid w:val="00AD50E0"/>
    <w:rsid w:val="00AD58C5"/>
    <w:rsid w:val="00AD687B"/>
    <w:rsid w:val="00AD6E94"/>
    <w:rsid w:val="00AD7F39"/>
    <w:rsid w:val="00AE0B52"/>
    <w:rsid w:val="00AE0DF1"/>
    <w:rsid w:val="00AE31D1"/>
    <w:rsid w:val="00AE36C4"/>
    <w:rsid w:val="00AE472C"/>
    <w:rsid w:val="00AE5375"/>
    <w:rsid w:val="00AE6087"/>
    <w:rsid w:val="00AE6CF8"/>
    <w:rsid w:val="00AF14B8"/>
    <w:rsid w:val="00AF20E7"/>
    <w:rsid w:val="00AF32A3"/>
    <w:rsid w:val="00AF4CAC"/>
    <w:rsid w:val="00AF7346"/>
    <w:rsid w:val="00AF7A3B"/>
    <w:rsid w:val="00B0010F"/>
    <w:rsid w:val="00B0130A"/>
    <w:rsid w:val="00B017AE"/>
    <w:rsid w:val="00B023B7"/>
    <w:rsid w:val="00B03E0D"/>
    <w:rsid w:val="00B054F8"/>
    <w:rsid w:val="00B06D70"/>
    <w:rsid w:val="00B07B3A"/>
    <w:rsid w:val="00B10EAB"/>
    <w:rsid w:val="00B131DC"/>
    <w:rsid w:val="00B13A3C"/>
    <w:rsid w:val="00B146E1"/>
    <w:rsid w:val="00B160FB"/>
    <w:rsid w:val="00B173EE"/>
    <w:rsid w:val="00B17EDC"/>
    <w:rsid w:val="00B210FB"/>
    <w:rsid w:val="00B211DE"/>
    <w:rsid w:val="00B216B0"/>
    <w:rsid w:val="00B2219A"/>
    <w:rsid w:val="00B248F2"/>
    <w:rsid w:val="00B2616F"/>
    <w:rsid w:val="00B301F7"/>
    <w:rsid w:val="00B33AC7"/>
    <w:rsid w:val="00B3581B"/>
    <w:rsid w:val="00B36B81"/>
    <w:rsid w:val="00B36FEE"/>
    <w:rsid w:val="00B37C80"/>
    <w:rsid w:val="00B37DB0"/>
    <w:rsid w:val="00B438B2"/>
    <w:rsid w:val="00B446BC"/>
    <w:rsid w:val="00B450DD"/>
    <w:rsid w:val="00B46F55"/>
    <w:rsid w:val="00B47A95"/>
    <w:rsid w:val="00B5092B"/>
    <w:rsid w:val="00B5150F"/>
    <w:rsid w:val="00B5194E"/>
    <w:rsid w:val="00B51AF5"/>
    <w:rsid w:val="00B52D93"/>
    <w:rsid w:val="00B531FC"/>
    <w:rsid w:val="00B53A72"/>
    <w:rsid w:val="00B55347"/>
    <w:rsid w:val="00B55D21"/>
    <w:rsid w:val="00B55EFB"/>
    <w:rsid w:val="00B57E5E"/>
    <w:rsid w:val="00B6050E"/>
    <w:rsid w:val="00B61412"/>
    <w:rsid w:val="00B61F37"/>
    <w:rsid w:val="00B64895"/>
    <w:rsid w:val="00B705A1"/>
    <w:rsid w:val="00B70B76"/>
    <w:rsid w:val="00B75D92"/>
    <w:rsid w:val="00B7770F"/>
    <w:rsid w:val="00B77A89"/>
    <w:rsid w:val="00B77B27"/>
    <w:rsid w:val="00B8041F"/>
    <w:rsid w:val="00B80905"/>
    <w:rsid w:val="00B8134E"/>
    <w:rsid w:val="00B81B55"/>
    <w:rsid w:val="00B823F2"/>
    <w:rsid w:val="00B82648"/>
    <w:rsid w:val="00B82B85"/>
    <w:rsid w:val="00B84613"/>
    <w:rsid w:val="00B85010"/>
    <w:rsid w:val="00B873A8"/>
    <w:rsid w:val="00B87AF0"/>
    <w:rsid w:val="00B9037B"/>
    <w:rsid w:val="00B90702"/>
    <w:rsid w:val="00B910BD"/>
    <w:rsid w:val="00B93834"/>
    <w:rsid w:val="00B93ABC"/>
    <w:rsid w:val="00B9438C"/>
    <w:rsid w:val="00B94BA7"/>
    <w:rsid w:val="00B96469"/>
    <w:rsid w:val="00B96855"/>
    <w:rsid w:val="00B9729D"/>
    <w:rsid w:val="00BA0DA2"/>
    <w:rsid w:val="00BA0F2D"/>
    <w:rsid w:val="00BA141A"/>
    <w:rsid w:val="00BA242A"/>
    <w:rsid w:val="00BA2981"/>
    <w:rsid w:val="00BA29D2"/>
    <w:rsid w:val="00BA48F9"/>
    <w:rsid w:val="00BA4E76"/>
    <w:rsid w:val="00BA7D38"/>
    <w:rsid w:val="00BB0DCA"/>
    <w:rsid w:val="00BB14CC"/>
    <w:rsid w:val="00BB1C83"/>
    <w:rsid w:val="00BB5B67"/>
    <w:rsid w:val="00BB6B80"/>
    <w:rsid w:val="00BB6BDD"/>
    <w:rsid w:val="00BB745C"/>
    <w:rsid w:val="00BC290F"/>
    <w:rsid w:val="00BC3773"/>
    <w:rsid w:val="00BC3796"/>
    <w:rsid w:val="00BC381A"/>
    <w:rsid w:val="00BC3BCE"/>
    <w:rsid w:val="00BC479D"/>
    <w:rsid w:val="00BC6418"/>
    <w:rsid w:val="00BC6A5D"/>
    <w:rsid w:val="00BC7D5B"/>
    <w:rsid w:val="00BD07F4"/>
    <w:rsid w:val="00BD0962"/>
    <w:rsid w:val="00BD0D06"/>
    <w:rsid w:val="00BD17FD"/>
    <w:rsid w:val="00BD1EED"/>
    <w:rsid w:val="00BD26FF"/>
    <w:rsid w:val="00BD2C49"/>
    <w:rsid w:val="00BD2FE3"/>
    <w:rsid w:val="00BD3288"/>
    <w:rsid w:val="00BD5D39"/>
    <w:rsid w:val="00BD72A4"/>
    <w:rsid w:val="00BD7B8D"/>
    <w:rsid w:val="00BE05D2"/>
    <w:rsid w:val="00BE0771"/>
    <w:rsid w:val="00BE248B"/>
    <w:rsid w:val="00BE3CA4"/>
    <w:rsid w:val="00BE7147"/>
    <w:rsid w:val="00BE7A06"/>
    <w:rsid w:val="00BF0DA2"/>
    <w:rsid w:val="00BF109C"/>
    <w:rsid w:val="00BF34FA"/>
    <w:rsid w:val="00BF37EE"/>
    <w:rsid w:val="00BF42AB"/>
    <w:rsid w:val="00BF463B"/>
    <w:rsid w:val="00BF745A"/>
    <w:rsid w:val="00C004B6"/>
    <w:rsid w:val="00C02A3F"/>
    <w:rsid w:val="00C02CF7"/>
    <w:rsid w:val="00C047A7"/>
    <w:rsid w:val="00C05DE5"/>
    <w:rsid w:val="00C06433"/>
    <w:rsid w:val="00C07A0C"/>
    <w:rsid w:val="00C11AFC"/>
    <w:rsid w:val="00C1484D"/>
    <w:rsid w:val="00C15509"/>
    <w:rsid w:val="00C156AF"/>
    <w:rsid w:val="00C15937"/>
    <w:rsid w:val="00C16BA0"/>
    <w:rsid w:val="00C210AC"/>
    <w:rsid w:val="00C23EC3"/>
    <w:rsid w:val="00C2460B"/>
    <w:rsid w:val="00C24732"/>
    <w:rsid w:val="00C2686D"/>
    <w:rsid w:val="00C33027"/>
    <w:rsid w:val="00C3398B"/>
    <w:rsid w:val="00C36947"/>
    <w:rsid w:val="00C36972"/>
    <w:rsid w:val="00C37667"/>
    <w:rsid w:val="00C40463"/>
    <w:rsid w:val="00C409F8"/>
    <w:rsid w:val="00C414AE"/>
    <w:rsid w:val="00C417B0"/>
    <w:rsid w:val="00C419E4"/>
    <w:rsid w:val="00C435DB"/>
    <w:rsid w:val="00C43898"/>
    <w:rsid w:val="00C43B66"/>
    <w:rsid w:val="00C44591"/>
    <w:rsid w:val="00C44D73"/>
    <w:rsid w:val="00C468D1"/>
    <w:rsid w:val="00C46903"/>
    <w:rsid w:val="00C46E42"/>
    <w:rsid w:val="00C4737D"/>
    <w:rsid w:val="00C50B42"/>
    <w:rsid w:val="00C516FF"/>
    <w:rsid w:val="00C51940"/>
    <w:rsid w:val="00C52646"/>
    <w:rsid w:val="00C52BFA"/>
    <w:rsid w:val="00C52FB3"/>
    <w:rsid w:val="00C533C6"/>
    <w:rsid w:val="00C53D1D"/>
    <w:rsid w:val="00C53F26"/>
    <w:rsid w:val="00C53F6A"/>
    <w:rsid w:val="00C540BC"/>
    <w:rsid w:val="00C569C9"/>
    <w:rsid w:val="00C5701E"/>
    <w:rsid w:val="00C57B79"/>
    <w:rsid w:val="00C611D1"/>
    <w:rsid w:val="00C61763"/>
    <w:rsid w:val="00C64A90"/>
    <w:rsid w:val="00C64F7D"/>
    <w:rsid w:val="00C66A96"/>
    <w:rsid w:val="00C67309"/>
    <w:rsid w:val="00C712E9"/>
    <w:rsid w:val="00C723E2"/>
    <w:rsid w:val="00C72A2A"/>
    <w:rsid w:val="00C74014"/>
    <w:rsid w:val="00C7614E"/>
    <w:rsid w:val="00C7644F"/>
    <w:rsid w:val="00C76778"/>
    <w:rsid w:val="00C77F47"/>
    <w:rsid w:val="00C80D60"/>
    <w:rsid w:val="00C82FBD"/>
    <w:rsid w:val="00C84FCA"/>
    <w:rsid w:val="00C85267"/>
    <w:rsid w:val="00C8539F"/>
    <w:rsid w:val="00C8721B"/>
    <w:rsid w:val="00C904C6"/>
    <w:rsid w:val="00C90F8E"/>
    <w:rsid w:val="00C921B5"/>
    <w:rsid w:val="00C9372C"/>
    <w:rsid w:val="00C9470E"/>
    <w:rsid w:val="00C95928"/>
    <w:rsid w:val="00C95BFD"/>
    <w:rsid w:val="00C95CEB"/>
    <w:rsid w:val="00C96E2F"/>
    <w:rsid w:val="00C97978"/>
    <w:rsid w:val="00CA06CE"/>
    <w:rsid w:val="00CA0861"/>
    <w:rsid w:val="00CA1054"/>
    <w:rsid w:val="00CA2B7F"/>
    <w:rsid w:val="00CA449A"/>
    <w:rsid w:val="00CA5782"/>
    <w:rsid w:val="00CA5BB2"/>
    <w:rsid w:val="00CA63EB"/>
    <w:rsid w:val="00CA66EF"/>
    <w:rsid w:val="00CA67B5"/>
    <w:rsid w:val="00CA69F1"/>
    <w:rsid w:val="00CA7064"/>
    <w:rsid w:val="00CB0211"/>
    <w:rsid w:val="00CB171D"/>
    <w:rsid w:val="00CB2038"/>
    <w:rsid w:val="00CB3133"/>
    <w:rsid w:val="00CB337B"/>
    <w:rsid w:val="00CB37E1"/>
    <w:rsid w:val="00CB6991"/>
    <w:rsid w:val="00CB71C2"/>
    <w:rsid w:val="00CC02C2"/>
    <w:rsid w:val="00CC06B1"/>
    <w:rsid w:val="00CC137A"/>
    <w:rsid w:val="00CC1FA8"/>
    <w:rsid w:val="00CC28C6"/>
    <w:rsid w:val="00CC2A27"/>
    <w:rsid w:val="00CC6194"/>
    <w:rsid w:val="00CC6305"/>
    <w:rsid w:val="00CC78A5"/>
    <w:rsid w:val="00CD0494"/>
    <w:rsid w:val="00CD0516"/>
    <w:rsid w:val="00CD1187"/>
    <w:rsid w:val="00CD3430"/>
    <w:rsid w:val="00CD45BB"/>
    <w:rsid w:val="00CD4802"/>
    <w:rsid w:val="00CD4B00"/>
    <w:rsid w:val="00CD524A"/>
    <w:rsid w:val="00CD6A5E"/>
    <w:rsid w:val="00CD70CB"/>
    <w:rsid w:val="00CD756B"/>
    <w:rsid w:val="00CE0456"/>
    <w:rsid w:val="00CE0790"/>
    <w:rsid w:val="00CE1443"/>
    <w:rsid w:val="00CE178C"/>
    <w:rsid w:val="00CE4BB2"/>
    <w:rsid w:val="00CE734F"/>
    <w:rsid w:val="00CE7D86"/>
    <w:rsid w:val="00CF0405"/>
    <w:rsid w:val="00CF112E"/>
    <w:rsid w:val="00CF1F00"/>
    <w:rsid w:val="00CF2B29"/>
    <w:rsid w:val="00CF324D"/>
    <w:rsid w:val="00CF5398"/>
    <w:rsid w:val="00CF53D9"/>
    <w:rsid w:val="00CF5F4F"/>
    <w:rsid w:val="00CF7A3B"/>
    <w:rsid w:val="00D00194"/>
    <w:rsid w:val="00D001BC"/>
    <w:rsid w:val="00D02CB9"/>
    <w:rsid w:val="00D0365F"/>
    <w:rsid w:val="00D04EAB"/>
    <w:rsid w:val="00D05346"/>
    <w:rsid w:val="00D06044"/>
    <w:rsid w:val="00D060EB"/>
    <w:rsid w:val="00D06117"/>
    <w:rsid w:val="00D0733D"/>
    <w:rsid w:val="00D074EB"/>
    <w:rsid w:val="00D07BC8"/>
    <w:rsid w:val="00D133D3"/>
    <w:rsid w:val="00D1405D"/>
    <w:rsid w:val="00D150B6"/>
    <w:rsid w:val="00D218DC"/>
    <w:rsid w:val="00D21F30"/>
    <w:rsid w:val="00D22440"/>
    <w:rsid w:val="00D22A62"/>
    <w:rsid w:val="00D24476"/>
    <w:rsid w:val="00D24664"/>
    <w:rsid w:val="00D24E56"/>
    <w:rsid w:val="00D25301"/>
    <w:rsid w:val="00D25DBC"/>
    <w:rsid w:val="00D25F6F"/>
    <w:rsid w:val="00D275E9"/>
    <w:rsid w:val="00D31643"/>
    <w:rsid w:val="00D31AEB"/>
    <w:rsid w:val="00D32ECD"/>
    <w:rsid w:val="00D331BD"/>
    <w:rsid w:val="00D355F3"/>
    <w:rsid w:val="00D361E4"/>
    <w:rsid w:val="00D368A1"/>
    <w:rsid w:val="00D36B29"/>
    <w:rsid w:val="00D429B2"/>
    <w:rsid w:val="00D42E8C"/>
    <w:rsid w:val="00D438C4"/>
    <w:rsid w:val="00D439F6"/>
    <w:rsid w:val="00D44A97"/>
    <w:rsid w:val="00D44F9D"/>
    <w:rsid w:val="00D459C6"/>
    <w:rsid w:val="00D50480"/>
    <w:rsid w:val="00D50729"/>
    <w:rsid w:val="00D50C19"/>
    <w:rsid w:val="00D5379E"/>
    <w:rsid w:val="00D53C90"/>
    <w:rsid w:val="00D57802"/>
    <w:rsid w:val="00D6087D"/>
    <w:rsid w:val="00D61705"/>
    <w:rsid w:val="00D618C6"/>
    <w:rsid w:val="00D61FBB"/>
    <w:rsid w:val="00D623B1"/>
    <w:rsid w:val="00D62643"/>
    <w:rsid w:val="00D62A9A"/>
    <w:rsid w:val="00D62D3D"/>
    <w:rsid w:val="00D64C0F"/>
    <w:rsid w:val="00D64CFC"/>
    <w:rsid w:val="00D66556"/>
    <w:rsid w:val="00D674E6"/>
    <w:rsid w:val="00D67DEE"/>
    <w:rsid w:val="00D70E00"/>
    <w:rsid w:val="00D72B27"/>
    <w:rsid w:val="00D72EFE"/>
    <w:rsid w:val="00D73BA9"/>
    <w:rsid w:val="00D74893"/>
    <w:rsid w:val="00D76227"/>
    <w:rsid w:val="00D7753A"/>
    <w:rsid w:val="00D77DF1"/>
    <w:rsid w:val="00D8148A"/>
    <w:rsid w:val="00D81998"/>
    <w:rsid w:val="00D81A88"/>
    <w:rsid w:val="00D854DB"/>
    <w:rsid w:val="00D8570F"/>
    <w:rsid w:val="00D85B0A"/>
    <w:rsid w:val="00D86AFF"/>
    <w:rsid w:val="00D875B4"/>
    <w:rsid w:val="00D87BD9"/>
    <w:rsid w:val="00D9080B"/>
    <w:rsid w:val="00D919D1"/>
    <w:rsid w:val="00D93212"/>
    <w:rsid w:val="00D948FB"/>
    <w:rsid w:val="00D9502E"/>
    <w:rsid w:val="00D95A44"/>
    <w:rsid w:val="00D95D16"/>
    <w:rsid w:val="00D965D3"/>
    <w:rsid w:val="00D97C76"/>
    <w:rsid w:val="00DA0936"/>
    <w:rsid w:val="00DA23A1"/>
    <w:rsid w:val="00DA3343"/>
    <w:rsid w:val="00DA343D"/>
    <w:rsid w:val="00DA42A9"/>
    <w:rsid w:val="00DA4A7D"/>
    <w:rsid w:val="00DA5609"/>
    <w:rsid w:val="00DB02B4"/>
    <w:rsid w:val="00DB2675"/>
    <w:rsid w:val="00DB4477"/>
    <w:rsid w:val="00DB532A"/>
    <w:rsid w:val="00DB538D"/>
    <w:rsid w:val="00DB6786"/>
    <w:rsid w:val="00DB6FAA"/>
    <w:rsid w:val="00DC02B5"/>
    <w:rsid w:val="00DC05E2"/>
    <w:rsid w:val="00DC09E3"/>
    <w:rsid w:val="00DC0E14"/>
    <w:rsid w:val="00DC0EDC"/>
    <w:rsid w:val="00DC275C"/>
    <w:rsid w:val="00DC4417"/>
    <w:rsid w:val="00DC460A"/>
    <w:rsid w:val="00DC4B0D"/>
    <w:rsid w:val="00DC4DC8"/>
    <w:rsid w:val="00DC619A"/>
    <w:rsid w:val="00DC70A0"/>
    <w:rsid w:val="00DC7FE1"/>
    <w:rsid w:val="00DD062E"/>
    <w:rsid w:val="00DD0EAB"/>
    <w:rsid w:val="00DD1192"/>
    <w:rsid w:val="00DD163A"/>
    <w:rsid w:val="00DD3F3F"/>
    <w:rsid w:val="00DD44FF"/>
    <w:rsid w:val="00DD5572"/>
    <w:rsid w:val="00DD70F1"/>
    <w:rsid w:val="00DE04AC"/>
    <w:rsid w:val="00DE0825"/>
    <w:rsid w:val="00DE2BC9"/>
    <w:rsid w:val="00DE4A4B"/>
    <w:rsid w:val="00DE5D80"/>
    <w:rsid w:val="00DE5F0A"/>
    <w:rsid w:val="00DE6670"/>
    <w:rsid w:val="00DE6AEF"/>
    <w:rsid w:val="00DE6E6C"/>
    <w:rsid w:val="00DE7482"/>
    <w:rsid w:val="00DF0677"/>
    <w:rsid w:val="00DF1107"/>
    <w:rsid w:val="00DF2F61"/>
    <w:rsid w:val="00DF2FD4"/>
    <w:rsid w:val="00DF3A6F"/>
    <w:rsid w:val="00DF45FC"/>
    <w:rsid w:val="00DF4869"/>
    <w:rsid w:val="00DF5526"/>
    <w:rsid w:val="00DF58CD"/>
    <w:rsid w:val="00DF65DE"/>
    <w:rsid w:val="00E01520"/>
    <w:rsid w:val="00E019A5"/>
    <w:rsid w:val="00E02271"/>
    <w:rsid w:val="00E02EC8"/>
    <w:rsid w:val="00E037F5"/>
    <w:rsid w:val="00E04ECB"/>
    <w:rsid w:val="00E050D9"/>
    <w:rsid w:val="00E05A09"/>
    <w:rsid w:val="00E068B9"/>
    <w:rsid w:val="00E06CA1"/>
    <w:rsid w:val="00E10060"/>
    <w:rsid w:val="00E10AC1"/>
    <w:rsid w:val="00E13E30"/>
    <w:rsid w:val="00E15466"/>
    <w:rsid w:val="00E16EA2"/>
    <w:rsid w:val="00E1710F"/>
    <w:rsid w:val="00E172B8"/>
    <w:rsid w:val="00E17FB4"/>
    <w:rsid w:val="00E2026F"/>
    <w:rsid w:val="00E20B75"/>
    <w:rsid w:val="00E214F2"/>
    <w:rsid w:val="00E21B3C"/>
    <w:rsid w:val="00E22E61"/>
    <w:rsid w:val="00E2371E"/>
    <w:rsid w:val="00E24BD7"/>
    <w:rsid w:val="00E24D82"/>
    <w:rsid w:val="00E2524B"/>
    <w:rsid w:val="00E25280"/>
    <w:rsid w:val="00E26523"/>
    <w:rsid w:val="00E26809"/>
    <w:rsid w:val="00E26FF2"/>
    <w:rsid w:val="00E27674"/>
    <w:rsid w:val="00E31E17"/>
    <w:rsid w:val="00E31FD1"/>
    <w:rsid w:val="00E3382E"/>
    <w:rsid w:val="00E3412D"/>
    <w:rsid w:val="00E34B03"/>
    <w:rsid w:val="00E358FD"/>
    <w:rsid w:val="00E40634"/>
    <w:rsid w:val="00E4119B"/>
    <w:rsid w:val="00E41EAA"/>
    <w:rsid w:val="00E440BB"/>
    <w:rsid w:val="00E44BE1"/>
    <w:rsid w:val="00E4637B"/>
    <w:rsid w:val="00E465A7"/>
    <w:rsid w:val="00E478DD"/>
    <w:rsid w:val="00E47C60"/>
    <w:rsid w:val="00E5054A"/>
    <w:rsid w:val="00E50875"/>
    <w:rsid w:val="00E514B6"/>
    <w:rsid w:val="00E52000"/>
    <w:rsid w:val="00E54565"/>
    <w:rsid w:val="00E56630"/>
    <w:rsid w:val="00E57322"/>
    <w:rsid w:val="00E57597"/>
    <w:rsid w:val="00E57A31"/>
    <w:rsid w:val="00E57F02"/>
    <w:rsid w:val="00E608D4"/>
    <w:rsid w:val="00E612B3"/>
    <w:rsid w:val="00E628CB"/>
    <w:rsid w:val="00E62AD9"/>
    <w:rsid w:val="00E638C8"/>
    <w:rsid w:val="00E63F3A"/>
    <w:rsid w:val="00E65234"/>
    <w:rsid w:val="00E655B8"/>
    <w:rsid w:val="00E7012C"/>
    <w:rsid w:val="00E71BEE"/>
    <w:rsid w:val="00E7341F"/>
    <w:rsid w:val="00E74DE5"/>
    <w:rsid w:val="00E7509B"/>
    <w:rsid w:val="00E818A9"/>
    <w:rsid w:val="00E82C1D"/>
    <w:rsid w:val="00E83E7D"/>
    <w:rsid w:val="00E84FC0"/>
    <w:rsid w:val="00E86590"/>
    <w:rsid w:val="00E87603"/>
    <w:rsid w:val="00E90274"/>
    <w:rsid w:val="00E907FF"/>
    <w:rsid w:val="00E90C21"/>
    <w:rsid w:val="00E9351A"/>
    <w:rsid w:val="00E9396A"/>
    <w:rsid w:val="00E951E9"/>
    <w:rsid w:val="00EA15A9"/>
    <w:rsid w:val="00EA16DE"/>
    <w:rsid w:val="00EA2FEB"/>
    <w:rsid w:val="00EA3137"/>
    <w:rsid w:val="00EA42D1"/>
    <w:rsid w:val="00EA42EF"/>
    <w:rsid w:val="00EA7574"/>
    <w:rsid w:val="00EA7771"/>
    <w:rsid w:val="00EB005A"/>
    <w:rsid w:val="00EB1046"/>
    <w:rsid w:val="00EB1F25"/>
    <w:rsid w:val="00EB2775"/>
    <w:rsid w:val="00EB2DD1"/>
    <w:rsid w:val="00EB6B37"/>
    <w:rsid w:val="00EC185A"/>
    <w:rsid w:val="00EC1EA5"/>
    <w:rsid w:val="00EC29FE"/>
    <w:rsid w:val="00EC3463"/>
    <w:rsid w:val="00EC3B01"/>
    <w:rsid w:val="00EC3B75"/>
    <w:rsid w:val="00EC3F07"/>
    <w:rsid w:val="00EC518A"/>
    <w:rsid w:val="00EC6355"/>
    <w:rsid w:val="00EC6477"/>
    <w:rsid w:val="00EC7362"/>
    <w:rsid w:val="00ED1FCD"/>
    <w:rsid w:val="00ED2AA8"/>
    <w:rsid w:val="00ED33EC"/>
    <w:rsid w:val="00ED3688"/>
    <w:rsid w:val="00ED3A3D"/>
    <w:rsid w:val="00ED3E8E"/>
    <w:rsid w:val="00ED4A84"/>
    <w:rsid w:val="00ED538A"/>
    <w:rsid w:val="00ED5CD2"/>
    <w:rsid w:val="00ED6907"/>
    <w:rsid w:val="00ED6FBC"/>
    <w:rsid w:val="00EE04B4"/>
    <w:rsid w:val="00EE1142"/>
    <w:rsid w:val="00EE1792"/>
    <w:rsid w:val="00EE183B"/>
    <w:rsid w:val="00EE21EA"/>
    <w:rsid w:val="00EE2AFA"/>
    <w:rsid w:val="00EE2E93"/>
    <w:rsid w:val="00EE2F16"/>
    <w:rsid w:val="00EE3861"/>
    <w:rsid w:val="00EE77A6"/>
    <w:rsid w:val="00EF0073"/>
    <w:rsid w:val="00EF1471"/>
    <w:rsid w:val="00EF2E73"/>
    <w:rsid w:val="00EF69FF"/>
    <w:rsid w:val="00EF6B9A"/>
    <w:rsid w:val="00EF7683"/>
    <w:rsid w:val="00EF7A2D"/>
    <w:rsid w:val="00F00FB0"/>
    <w:rsid w:val="00F019EF"/>
    <w:rsid w:val="00F04F64"/>
    <w:rsid w:val="00F04F8D"/>
    <w:rsid w:val="00F05008"/>
    <w:rsid w:val="00F06314"/>
    <w:rsid w:val="00F06FB7"/>
    <w:rsid w:val="00F07A12"/>
    <w:rsid w:val="00F107E0"/>
    <w:rsid w:val="00F10AD0"/>
    <w:rsid w:val="00F116CC"/>
    <w:rsid w:val="00F12BD1"/>
    <w:rsid w:val="00F14AE3"/>
    <w:rsid w:val="00F14E50"/>
    <w:rsid w:val="00F151B3"/>
    <w:rsid w:val="00F15327"/>
    <w:rsid w:val="00F16015"/>
    <w:rsid w:val="00F1628A"/>
    <w:rsid w:val="00F168CF"/>
    <w:rsid w:val="00F16CF2"/>
    <w:rsid w:val="00F16E39"/>
    <w:rsid w:val="00F22015"/>
    <w:rsid w:val="00F22AC5"/>
    <w:rsid w:val="00F24ABD"/>
    <w:rsid w:val="00F2555C"/>
    <w:rsid w:val="00F255F0"/>
    <w:rsid w:val="00F26B37"/>
    <w:rsid w:val="00F278D9"/>
    <w:rsid w:val="00F313ED"/>
    <w:rsid w:val="00F31DF3"/>
    <w:rsid w:val="00F32D80"/>
    <w:rsid w:val="00F32FA7"/>
    <w:rsid w:val="00F33AE5"/>
    <w:rsid w:val="00F34BC2"/>
    <w:rsid w:val="00F3597D"/>
    <w:rsid w:val="00F36842"/>
    <w:rsid w:val="00F36E60"/>
    <w:rsid w:val="00F36E6C"/>
    <w:rsid w:val="00F37933"/>
    <w:rsid w:val="00F42F12"/>
    <w:rsid w:val="00F430CC"/>
    <w:rsid w:val="00F4376D"/>
    <w:rsid w:val="00F45399"/>
    <w:rsid w:val="00F465EA"/>
    <w:rsid w:val="00F46CFC"/>
    <w:rsid w:val="00F46F6B"/>
    <w:rsid w:val="00F50029"/>
    <w:rsid w:val="00F511C7"/>
    <w:rsid w:val="00F51925"/>
    <w:rsid w:val="00F51E01"/>
    <w:rsid w:val="00F54E7B"/>
    <w:rsid w:val="00F55A88"/>
    <w:rsid w:val="00F57667"/>
    <w:rsid w:val="00F600BD"/>
    <w:rsid w:val="00F6189D"/>
    <w:rsid w:val="00F61A53"/>
    <w:rsid w:val="00F626A7"/>
    <w:rsid w:val="00F63232"/>
    <w:rsid w:val="00F64E89"/>
    <w:rsid w:val="00F655A7"/>
    <w:rsid w:val="00F657F7"/>
    <w:rsid w:val="00F669FE"/>
    <w:rsid w:val="00F66E3E"/>
    <w:rsid w:val="00F67685"/>
    <w:rsid w:val="00F67C2C"/>
    <w:rsid w:val="00F67C97"/>
    <w:rsid w:val="00F72C49"/>
    <w:rsid w:val="00F73F17"/>
    <w:rsid w:val="00F74005"/>
    <w:rsid w:val="00F76884"/>
    <w:rsid w:val="00F77B29"/>
    <w:rsid w:val="00F80559"/>
    <w:rsid w:val="00F80C55"/>
    <w:rsid w:val="00F82567"/>
    <w:rsid w:val="00F83D24"/>
    <w:rsid w:val="00F83DD9"/>
    <w:rsid w:val="00F83F40"/>
    <w:rsid w:val="00F855FA"/>
    <w:rsid w:val="00F867BB"/>
    <w:rsid w:val="00F86B84"/>
    <w:rsid w:val="00F86C00"/>
    <w:rsid w:val="00F933F6"/>
    <w:rsid w:val="00F93C78"/>
    <w:rsid w:val="00F94435"/>
    <w:rsid w:val="00F95C63"/>
    <w:rsid w:val="00F96F1E"/>
    <w:rsid w:val="00FA117A"/>
    <w:rsid w:val="00FA128A"/>
    <w:rsid w:val="00FA3759"/>
    <w:rsid w:val="00FA4015"/>
    <w:rsid w:val="00FA5B32"/>
    <w:rsid w:val="00FA5DF4"/>
    <w:rsid w:val="00FA6410"/>
    <w:rsid w:val="00FA6B3A"/>
    <w:rsid w:val="00FA7274"/>
    <w:rsid w:val="00FB00D2"/>
    <w:rsid w:val="00FB0BBF"/>
    <w:rsid w:val="00FB1DD0"/>
    <w:rsid w:val="00FB2293"/>
    <w:rsid w:val="00FB386A"/>
    <w:rsid w:val="00FB42EF"/>
    <w:rsid w:val="00FB6072"/>
    <w:rsid w:val="00FB6109"/>
    <w:rsid w:val="00FB64CF"/>
    <w:rsid w:val="00FB6A2C"/>
    <w:rsid w:val="00FB6BC9"/>
    <w:rsid w:val="00FB7738"/>
    <w:rsid w:val="00FC021F"/>
    <w:rsid w:val="00FC0786"/>
    <w:rsid w:val="00FC189D"/>
    <w:rsid w:val="00FC376F"/>
    <w:rsid w:val="00FC3779"/>
    <w:rsid w:val="00FC49EF"/>
    <w:rsid w:val="00FC6D8F"/>
    <w:rsid w:val="00FD28FE"/>
    <w:rsid w:val="00FD36D7"/>
    <w:rsid w:val="00FD55A8"/>
    <w:rsid w:val="00FD6CD6"/>
    <w:rsid w:val="00FE2E39"/>
    <w:rsid w:val="00FE36E2"/>
    <w:rsid w:val="00FE39FA"/>
    <w:rsid w:val="00FF01A9"/>
    <w:rsid w:val="00FF11AD"/>
    <w:rsid w:val="00FF20E0"/>
    <w:rsid w:val="00FF2971"/>
    <w:rsid w:val="00FF30BC"/>
    <w:rsid w:val="00FF315B"/>
    <w:rsid w:val="00FF34D4"/>
    <w:rsid w:val="00FF6FE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8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6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Default">
    <w:name w:val="Default"/>
    <w:rsid w:val="006E1CBB"/>
    <w:pPr>
      <w:autoSpaceDE w:val="0"/>
      <w:autoSpaceDN w:val="0"/>
      <w:adjustRightInd w:val="0"/>
    </w:pPr>
    <w:rPr>
      <w:rFonts w:ascii="ILAHNO+Garamond" w:hAnsi="ILAHNO+Garamond" w:cs="ILAHNO+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43C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6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Default">
    <w:name w:val="Default"/>
    <w:rsid w:val="006E1CBB"/>
    <w:pPr>
      <w:autoSpaceDE w:val="0"/>
      <w:autoSpaceDN w:val="0"/>
      <w:adjustRightInd w:val="0"/>
    </w:pPr>
    <w:rPr>
      <w:rFonts w:ascii="ILAHNO+Garamond" w:hAnsi="ILAHNO+Garamond" w:cs="ILAHNO+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43C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46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29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17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58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2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92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0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7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2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7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0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23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1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52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6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6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52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8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0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2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3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.wawer@nauk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zadorozn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502A-3808-4B9D-B7D8-01BAF7F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24055</CharactersWithSpaces>
  <SharedDoc>false</SharedDoc>
  <HLinks>
    <vt:vector size="12" baseType="variant"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mailto:malgorzata.tokaj@nauka.gov.pl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mailto:danuta.czarnecka@nauka.gov.pl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2019-05-14T06:43:00Z</dcterms:created>
  <dcterms:modified xsi:type="dcterms:W3CDTF">2019-05-14T06:43:00Z</dcterms:modified>
</cp:coreProperties>
</file>