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229"/>
        <w:gridCol w:w="428"/>
        <w:gridCol w:w="451"/>
        <w:gridCol w:w="206"/>
        <w:gridCol w:w="136"/>
        <w:gridCol w:w="521"/>
        <w:gridCol w:w="416"/>
        <w:gridCol w:w="134"/>
        <w:gridCol w:w="108"/>
        <w:gridCol w:w="43"/>
        <w:gridCol w:w="614"/>
        <w:gridCol w:w="39"/>
        <w:gridCol w:w="618"/>
        <w:gridCol w:w="249"/>
        <w:gridCol w:w="71"/>
        <w:gridCol w:w="337"/>
        <w:gridCol w:w="195"/>
        <w:gridCol w:w="280"/>
        <w:gridCol w:w="125"/>
        <w:gridCol w:w="58"/>
        <w:gridCol w:w="657"/>
        <w:gridCol w:w="223"/>
        <w:gridCol w:w="434"/>
        <w:gridCol w:w="504"/>
        <w:gridCol w:w="154"/>
        <w:gridCol w:w="1268"/>
        <w:gridCol w:w="10"/>
      </w:tblGrid>
      <w:tr w:rsidR="007B1E52" w:rsidRPr="00442C01" w14:paraId="1FA4AF51" w14:textId="77777777" w:rsidTr="00B17DC3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A95593E" w14:textId="77777777" w:rsidR="007B1E52" w:rsidRPr="00442C01" w:rsidRDefault="007B1E52" w:rsidP="005C58D9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5E8D7790" w14:textId="32F88EC0" w:rsidR="007B1E52" w:rsidRDefault="007B1E52" w:rsidP="005C58D9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 w:rsidRPr="00442C01">
              <w:rPr>
                <w:rFonts w:ascii="Times New Roman" w:eastAsia="Calibri" w:hAnsi="Times New Roman" w:cs="Times New Roman"/>
              </w:rPr>
              <w:t xml:space="preserve">Projekt rozporządzenia Ministra Zdrowia zmieniającego rozporządzenie w sprawie świadczeń gwarantowanych z zakresu </w:t>
            </w:r>
            <w:r w:rsidR="00E4390D">
              <w:rPr>
                <w:rFonts w:ascii="Times New Roman" w:eastAsia="Calibri" w:hAnsi="Times New Roman" w:cs="Times New Roman"/>
              </w:rPr>
              <w:t>rehabilitacji leczniczej</w:t>
            </w:r>
          </w:p>
          <w:p w14:paraId="7B96D461" w14:textId="77777777" w:rsidR="005C58D9" w:rsidRPr="00442C01" w:rsidRDefault="005C58D9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430B98F" w14:textId="77777777" w:rsidR="007B1E52" w:rsidRPr="00442C01" w:rsidRDefault="007B1E52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C4B9285" w14:textId="77777777" w:rsidR="007B1E52" w:rsidRDefault="007B1E52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Ministerstwo Zdrowia</w:t>
            </w:r>
          </w:p>
          <w:p w14:paraId="645E7743" w14:textId="77777777" w:rsidR="005C58D9" w:rsidRPr="00442C01" w:rsidRDefault="005C58D9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A40BDA0" w14:textId="77777777" w:rsidR="007B1E52" w:rsidRPr="00442C01" w:rsidRDefault="007B1E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30B77DA4" w14:textId="77777777" w:rsidR="007B1E52" w:rsidRDefault="00C76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Zbigniew </w:t>
            </w:r>
            <w:r w:rsidR="00A63438">
              <w:rPr>
                <w:rFonts w:ascii="Times New Roman" w:eastAsia="Calibri" w:hAnsi="Times New Roman" w:cs="Times New Roman"/>
              </w:rPr>
              <w:t xml:space="preserve">J. </w:t>
            </w:r>
            <w:r>
              <w:rPr>
                <w:rFonts w:ascii="Times New Roman" w:eastAsia="Calibri" w:hAnsi="Times New Roman" w:cs="Times New Roman"/>
              </w:rPr>
              <w:t>Król</w:t>
            </w:r>
            <w:r w:rsidR="007B1E52" w:rsidRPr="00442C01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17122015" w14:textId="77777777" w:rsidR="005C58D9" w:rsidRPr="00442C01" w:rsidRDefault="005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A5BC03E" w14:textId="77777777" w:rsidR="007B1E52" w:rsidRPr="00442C01" w:rsidRDefault="007B1E52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7CEABED2" w14:textId="77777777" w:rsidR="007B1E52" w:rsidRPr="00442C01" w:rsidRDefault="007B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</w:rPr>
              <w:t xml:space="preserve">Kamila Malinowska, Zastępca Dyrektora Departamentu </w:t>
            </w:r>
            <w:r w:rsidR="00DF7E2C">
              <w:rPr>
                <w:rFonts w:ascii="Times New Roman" w:eastAsia="Calibri" w:hAnsi="Times New Roman" w:cs="Times New Roman"/>
              </w:rPr>
              <w:t xml:space="preserve">Analiz i Strategii </w:t>
            </w:r>
            <w:r w:rsidRPr="00442C01">
              <w:rPr>
                <w:rFonts w:ascii="Times New Roman" w:eastAsia="Calibri" w:hAnsi="Times New Roman" w:cs="Times New Roman"/>
              </w:rPr>
              <w:t xml:space="preserve">w Ministerstwie Zdrowia, </w:t>
            </w:r>
            <w:r w:rsidR="009D756E">
              <w:rPr>
                <w:rFonts w:ascii="Times New Roman" w:eastAsia="Calibri" w:hAnsi="Times New Roman" w:cs="Times New Roman"/>
              </w:rPr>
              <w:t xml:space="preserve">tel. </w:t>
            </w:r>
            <w:r w:rsidRPr="00442C01">
              <w:rPr>
                <w:rFonts w:ascii="Times New Roman" w:eastAsia="Calibri" w:hAnsi="Times New Roman" w:cs="Times New Roman"/>
              </w:rPr>
              <w:t xml:space="preserve">(22) </w:t>
            </w:r>
            <w:r w:rsidR="00DF7E2C">
              <w:rPr>
                <w:rFonts w:ascii="Times New Roman" w:eastAsia="Calibri" w:hAnsi="Times New Roman" w:cs="Times New Roman"/>
              </w:rPr>
              <w:t>860 11 05</w:t>
            </w:r>
            <w:r w:rsidRPr="00442C01">
              <w:rPr>
                <w:rFonts w:ascii="Times New Roman" w:eastAsia="Calibri" w:hAnsi="Times New Roman" w:cs="Times New Roman"/>
              </w:rPr>
              <w:t xml:space="preserve">, e-mail: </w:t>
            </w:r>
            <w:hyperlink r:id="rId8" w:history="1">
              <w:r w:rsidRPr="00442C0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k.malinowska@mz.gov.pl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2D6577D5" w14:textId="77777777" w:rsidR="005C58D9" w:rsidRDefault="007B1E52" w:rsidP="008E38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4A77640" w14:textId="4F3E8280" w:rsidR="007B1E52" w:rsidRDefault="00CE065C" w:rsidP="008E38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B80C53">
              <w:rPr>
                <w:rFonts w:ascii="Times New Roman" w:eastAsia="Calibri" w:hAnsi="Times New Roman" w:cs="Times New Roman"/>
              </w:rPr>
              <w:t>.</w:t>
            </w:r>
            <w:r w:rsidR="00CD755B">
              <w:rPr>
                <w:rFonts w:ascii="Times New Roman" w:eastAsia="Calibri" w:hAnsi="Times New Roman" w:cs="Times New Roman"/>
              </w:rPr>
              <w:t>12</w:t>
            </w:r>
            <w:r w:rsidR="00402FAB" w:rsidRPr="00402FAB">
              <w:rPr>
                <w:rFonts w:ascii="Times New Roman" w:eastAsia="Calibri" w:hAnsi="Times New Roman" w:cs="Times New Roman"/>
              </w:rPr>
              <w:t>.201</w:t>
            </w:r>
            <w:r w:rsidR="002B3669">
              <w:rPr>
                <w:rFonts w:ascii="Times New Roman" w:eastAsia="Calibri" w:hAnsi="Times New Roman" w:cs="Times New Roman"/>
              </w:rPr>
              <w:t>8</w:t>
            </w:r>
            <w:r w:rsidR="00402FAB" w:rsidRPr="00402FAB">
              <w:rPr>
                <w:rFonts w:ascii="Times New Roman" w:eastAsia="Calibri" w:hAnsi="Times New Roman" w:cs="Times New Roman"/>
              </w:rPr>
              <w:t xml:space="preserve"> r.</w:t>
            </w:r>
            <w:r w:rsidR="00402FA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C663B66" w14:textId="77777777" w:rsidR="00842D42" w:rsidRPr="00442C01" w:rsidRDefault="00842D42" w:rsidP="008E38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77047BF" w14:textId="77777777" w:rsidR="007B1E52" w:rsidRPr="00442C01" w:rsidRDefault="007B1E52" w:rsidP="008E38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697D43B3" w14:textId="157D8E5A" w:rsidR="007B1E52" w:rsidRDefault="007B1E52" w:rsidP="008E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2C01">
              <w:rPr>
                <w:rFonts w:ascii="Times New Roman" w:eastAsia="Times New Roman" w:hAnsi="Times New Roman" w:cs="Times New Roman"/>
              </w:rPr>
              <w:t xml:space="preserve">Art. 31d ustawy z dnia 27 sierpnia 2004 r. o świadczeniach opieki zdrowotnej finansowanych ze środków publicznych </w:t>
            </w:r>
            <w:r w:rsidRPr="00442C01">
              <w:rPr>
                <w:rFonts w:ascii="Times New Roman" w:eastAsia="Times New Roman" w:hAnsi="Times New Roman" w:cs="Times New Roman"/>
              </w:rPr>
              <w:br/>
              <w:t>(Dz. U. z </w:t>
            </w:r>
            <w:r w:rsidR="00986FD4">
              <w:rPr>
                <w:rFonts w:ascii="Times New Roman" w:eastAsia="Times New Roman" w:hAnsi="Times New Roman" w:cs="Times New Roman"/>
              </w:rPr>
              <w:t>2018 r. poz. 1510</w:t>
            </w:r>
            <w:r w:rsidRPr="00442C01">
              <w:rPr>
                <w:rFonts w:ascii="Times New Roman" w:eastAsia="Times New Roman" w:hAnsi="Times New Roman" w:cs="Times New Roman"/>
              </w:rPr>
              <w:t xml:space="preserve">, z </w:t>
            </w:r>
            <w:proofErr w:type="spellStart"/>
            <w:r w:rsidRPr="00442C01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00442C01">
              <w:rPr>
                <w:rFonts w:ascii="Times New Roman" w:eastAsia="Times New Roman" w:hAnsi="Times New Roman" w:cs="Times New Roman"/>
              </w:rPr>
              <w:t>. zm.)</w:t>
            </w:r>
          </w:p>
          <w:p w14:paraId="2901ADB2" w14:textId="77777777" w:rsidR="00842D42" w:rsidRPr="00442C01" w:rsidRDefault="00842D42" w:rsidP="008E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9B17A7" w14:textId="77777777" w:rsidR="007B1E52" w:rsidRPr="00442C01" w:rsidRDefault="007B1E52" w:rsidP="008E38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wykazie prac Ministra Zdrowia: </w:t>
            </w:r>
          </w:p>
          <w:p w14:paraId="29E70B2E" w14:textId="1DE55E86" w:rsidR="007B1E52" w:rsidRPr="00442C01" w:rsidRDefault="00E4390D" w:rsidP="008E38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MZ 628</w:t>
            </w:r>
          </w:p>
        </w:tc>
      </w:tr>
      <w:tr w:rsidR="007B1E52" w:rsidRPr="00442C01" w14:paraId="230EE25B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E67478" w14:textId="77777777" w:rsidR="007B1E52" w:rsidRPr="00442C01" w:rsidRDefault="007B1E52" w:rsidP="008E38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7B1E52" w:rsidRPr="00442C01" w14:paraId="02D6F1B5" w14:textId="77777777" w:rsidTr="00B17DC3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D0E90D5" w14:textId="77777777" w:rsidR="007B1E52" w:rsidRPr="00442C01" w:rsidRDefault="007B1E52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B1E52" w:rsidRPr="00442C01" w14:paraId="19C67DAC" w14:textId="77777777" w:rsidTr="00B17DC3">
        <w:trPr>
          <w:gridAfter w:val="1"/>
          <w:wAfter w:w="10" w:type="dxa"/>
          <w:trHeight w:val="990"/>
        </w:trPr>
        <w:tc>
          <w:tcPr>
            <w:tcW w:w="10937" w:type="dxa"/>
            <w:gridSpan w:val="29"/>
            <w:shd w:val="clear" w:color="auto" w:fill="FFFFFF"/>
          </w:tcPr>
          <w:p w14:paraId="58FBEE7C" w14:textId="763AB7F6" w:rsidR="00326AA8" w:rsidRDefault="00305214" w:rsidP="005C5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5214">
              <w:rPr>
                <w:rFonts w:ascii="Times New Roman" w:eastAsia="Calibri" w:hAnsi="Times New Roman" w:cs="Times New Roman"/>
              </w:rPr>
              <w:t>Celem projektowanego rozporządzenia zmieniającego rozporządzenie Ministra Zdrow</w:t>
            </w:r>
            <w:r>
              <w:rPr>
                <w:rFonts w:ascii="Times New Roman" w:eastAsia="Calibri" w:hAnsi="Times New Roman" w:cs="Times New Roman"/>
              </w:rPr>
              <w:t xml:space="preserve">ia z dnia </w:t>
            </w:r>
            <w:r w:rsidR="00E4390D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listopada 2013 r. w </w:t>
            </w:r>
            <w:r w:rsidRPr="00305214">
              <w:rPr>
                <w:rFonts w:ascii="Times New Roman" w:eastAsia="Calibri" w:hAnsi="Times New Roman" w:cs="Times New Roman"/>
              </w:rPr>
              <w:t xml:space="preserve">sprawie świadczeń gwarantowanych z zakresu </w:t>
            </w:r>
            <w:r w:rsidR="00E4390D">
              <w:rPr>
                <w:rFonts w:ascii="Times New Roman" w:eastAsia="Calibri" w:hAnsi="Times New Roman" w:cs="Times New Roman"/>
              </w:rPr>
              <w:t>rehabilitacji leczniczej</w:t>
            </w:r>
            <w:r w:rsidR="00E4390D" w:rsidRPr="00305214">
              <w:rPr>
                <w:rFonts w:ascii="Times New Roman" w:eastAsia="Calibri" w:hAnsi="Times New Roman" w:cs="Times New Roman"/>
              </w:rPr>
              <w:t xml:space="preserve"> </w:t>
            </w:r>
            <w:r w:rsidRPr="00305214">
              <w:rPr>
                <w:rFonts w:ascii="Times New Roman" w:eastAsia="Calibri" w:hAnsi="Times New Roman" w:cs="Times New Roman"/>
              </w:rPr>
              <w:t>(Dz. U. z 201</w:t>
            </w:r>
            <w:r w:rsidR="00E4390D">
              <w:rPr>
                <w:rFonts w:ascii="Times New Roman" w:eastAsia="Calibri" w:hAnsi="Times New Roman" w:cs="Times New Roman"/>
              </w:rPr>
              <w:t>8</w:t>
            </w:r>
            <w:r w:rsidRPr="00305214">
              <w:rPr>
                <w:rFonts w:ascii="Times New Roman" w:eastAsia="Calibri" w:hAnsi="Times New Roman" w:cs="Times New Roman"/>
              </w:rPr>
              <w:t xml:space="preserve"> r. </w:t>
            </w:r>
            <w:r w:rsidR="00961053">
              <w:rPr>
                <w:rFonts w:ascii="Times New Roman" w:eastAsia="Calibri" w:hAnsi="Times New Roman" w:cs="Times New Roman"/>
              </w:rPr>
              <w:t xml:space="preserve">poz. </w:t>
            </w:r>
            <w:r w:rsidR="00E4390D">
              <w:rPr>
                <w:rFonts w:ascii="Times New Roman" w:eastAsia="Calibri" w:hAnsi="Times New Roman" w:cs="Times New Roman"/>
              </w:rPr>
              <w:t>465</w:t>
            </w:r>
            <w:r w:rsidR="00C63AF6">
              <w:rPr>
                <w:rFonts w:ascii="Times New Roman" w:eastAsia="Calibri" w:hAnsi="Times New Roman" w:cs="Times New Roman"/>
              </w:rPr>
              <w:t>) jest zapewnienie gwarancji jakości i ciągłości</w:t>
            </w:r>
            <w:r w:rsidRPr="00305214">
              <w:rPr>
                <w:rFonts w:ascii="Times New Roman" w:eastAsia="Calibri" w:hAnsi="Times New Roman" w:cs="Times New Roman"/>
              </w:rPr>
              <w:t xml:space="preserve"> świadczeń gwarantowanych</w:t>
            </w:r>
            <w:r w:rsidR="00C63AF6">
              <w:rPr>
                <w:rFonts w:ascii="Times New Roman" w:eastAsia="Calibri" w:hAnsi="Times New Roman" w:cs="Times New Roman"/>
              </w:rPr>
              <w:t xml:space="preserve"> z zakresu diagnostyki, leczenia i rehabilitacji </w:t>
            </w:r>
            <w:r w:rsidR="00E4390D">
              <w:rPr>
                <w:rFonts w:ascii="Times New Roman" w:eastAsia="Calibri" w:hAnsi="Times New Roman" w:cs="Times New Roman"/>
              </w:rPr>
              <w:t>udzielanych świadczeniobiorcy z </w:t>
            </w:r>
            <w:r w:rsidR="00C63AF6">
              <w:rPr>
                <w:rFonts w:ascii="Times New Roman" w:eastAsia="Calibri" w:hAnsi="Times New Roman" w:cs="Times New Roman"/>
              </w:rPr>
              <w:t>nowotworem piersi.</w:t>
            </w:r>
          </w:p>
          <w:p w14:paraId="45B04CE2" w14:textId="77777777" w:rsidR="00E4390D" w:rsidRDefault="00E439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0BAA316" w14:textId="5B91471A" w:rsidR="00B80C53" w:rsidRDefault="00B80C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C53">
              <w:rPr>
                <w:rFonts w:ascii="Times New Roman" w:eastAsia="Calibri" w:hAnsi="Times New Roman" w:cs="Times New Roman"/>
              </w:rPr>
              <w:t xml:space="preserve">Szczegółowa analiza </w:t>
            </w:r>
            <w:r>
              <w:rPr>
                <w:rFonts w:ascii="Times New Roman" w:eastAsia="Calibri" w:hAnsi="Times New Roman" w:cs="Times New Roman"/>
              </w:rPr>
              <w:t xml:space="preserve">realizacji świadczeń związanych z opieką nad </w:t>
            </w:r>
            <w:r w:rsidR="00C63AF6">
              <w:rPr>
                <w:rFonts w:ascii="Times New Roman" w:eastAsia="Calibri" w:hAnsi="Times New Roman" w:cs="Times New Roman"/>
              </w:rPr>
              <w:t xml:space="preserve">świadczeniobiorcą </w:t>
            </w:r>
            <w:r>
              <w:rPr>
                <w:rFonts w:ascii="Times New Roman" w:eastAsia="Calibri" w:hAnsi="Times New Roman" w:cs="Times New Roman"/>
              </w:rPr>
              <w:t xml:space="preserve">z </w:t>
            </w:r>
            <w:r w:rsidR="00C63AF6">
              <w:rPr>
                <w:rFonts w:ascii="Times New Roman" w:eastAsia="Calibri" w:hAnsi="Times New Roman" w:cs="Times New Roman"/>
              </w:rPr>
              <w:t xml:space="preserve">nowotworem </w:t>
            </w:r>
            <w:r>
              <w:rPr>
                <w:rFonts w:ascii="Times New Roman" w:eastAsia="Calibri" w:hAnsi="Times New Roman" w:cs="Times New Roman"/>
              </w:rPr>
              <w:t>piersi</w:t>
            </w:r>
            <w:r w:rsidRPr="00B80C53">
              <w:rPr>
                <w:rFonts w:ascii="Times New Roman" w:eastAsia="Calibri" w:hAnsi="Times New Roman" w:cs="Times New Roman"/>
              </w:rPr>
              <w:t xml:space="preserve"> wykazała niewystarczającą dokładność w </w:t>
            </w:r>
            <w:r>
              <w:rPr>
                <w:rFonts w:ascii="Times New Roman" w:eastAsia="Calibri" w:hAnsi="Times New Roman" w:cs="Times New Roman"/>
              </w:rPr>
              <w:t xml:space="preserve">dotychczasowym </w:t>
            </w:r>
            <w:r w:rsidRPr="00B80C53">
              <w:rPr>
                <w:rFonts w:ascii="Times New Roman" w:eastAsia="Calibri" w:hAnsi="Times New Roman" w:cs="Times New Roman"/>
              </w:rPr>
              <w:t>opisie świadczenia gwarantowane</w:t>
            </w:r>
            <w:r w:rsidR="00C63AF6">
              <w:rPr>
                <w:rFonts w:ascii="Times New Roman" w:eastAsia="Calibri" w:hAnsi="Times New Roman" w:cs="Times New Roman"/>
              </w:rPr>
              <w:t xml:space="preserve">go, zwłaszcza w odniesieniu do: </w:t>
            </w:r>
            <w:r w:rsidRPr="00B80C53">
              <w:rPr>
                <w:rFonts w:ascii="Times New Roman" w:eastAsia="Calibri" w:hAnsi="Times New Roman" w:cs="Times New Roman"/>
              </w:rPr>
              <w:t xml:space="preserve">warunków uprawnienia do świadczenia, zakresu czy warunków realizacji świadczenia. Ponadto dokumentacja nie zawierała kodowania w zakresie </w:t>
            </w:r>
            <w:proofErr w:type="spellStart"/>
            <w:r w:rsidRPr="00B80C53">
              <w:rPr>
                <w:rFonts w:ascii="Times New Roman" w:eastAsia="Calibri" w:hAnsi="Times New Roman" w:cs="Times New Roman"/>
              </w:rPr>
              <w:t>rozpoznań</w:t>
            </w:r>
            <w:proofErr w:type="spellEnd"/>
            <w:r w:rsidRPr="00B80C53">
              <w:rPr>
                <w:rFonts w:ascii="Times New Roman" w:eastAsia="Calibri" w:hAnsi="Times New Roman" w:cs="Times New Roman"/>
              </w:rPr>
              <w:t xml:space="preserve"> zasadniczych ICD-10 oraz procedur medycznych ICD-9. </w:t>
            </w:r>
            <w:r>
              <w:rPr>
                <w:rFonts w:ascii="Times New Roman" w:eastAsia="Calibri" w:hAnsi="Times New Roman" w:cs="Times New Roman"/>
              </w:rPr>
              <w:t>Nie dostarczała</w:t>
            </w:r>
            <w:r w:rsidR="00C63AF6">
              <w:rPr>
                <w:rFonts w:ascii="Times New Roman" w:eastAsia="Calibri" w:hAnsi="Times New Roman" w:cs="Times New Roman"/>
              </w:rPr>
              <w:t xml:space="preserve"> też gwarancji względem jakości i </w:t>
            </w:r>
            <w:r>
              <w:rPr>
                <w:rFonts w:ascii="Times New Roman" w:eastAsia="Calibri" w:hAnsi="Times New Roman" w:cs="Times New Roman"/>
              </w:rPr>
              <w:t xml:space="preserve">ciągłości opieki między początkowymi a kolejnymi etapami opieki, co ma kluczowe znaczenie dla uzyskiwanego efektu zdrowotnego i komfortu życia </w:t>
            </w:r>
            <w:r w:rsidR="00C63AF6">
              <w:rPr>
                <w:rFonts w:ascii="Times New Roman" w:eastAsia="Calibri" w:hAnsi="Times New Roman" w:cs="Times New Roman"/>
              </w:rPr>
              <w:t>świadczeniobiorcy z nowotworem</w:t>
            </w:r>
            <w:r>
              <w:rPr>
                <w:rFonts w:ascii="Times New Roman" w:eastAsia="Calibri" w:hAnsi="Times New Roman" w:cs="Times New Roman"/>
              </w:rPr>
              <w:t xml:space="preserve"> piersi.</w:t>
            </w:r>
          </w:p>
          <w:p w14:paraId="0B035452" w14:textId="6C4E3318" w:rsidR="00B80C53" w:rsidRPr="00442C01" w:rsidRDefault="00B80C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sytuacji, gdy zapewnienie dostępu do opieki jest już </w:t>
            </w:r>
            <w:r w:rsidR="00871C8C">
              <w:rPr>
                <w:rFonts w:ascii="Times New Roman" w:eastAsia="Calibri" w:hAnsi="Times New Roman" w:cs="Times New Roman"/>
              </w:rPr>
              <w:t>zagwarantowane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C63AF6">
              <w:rPr>
                <w:rFonts w:ascii="Times New Roman" w:eastAsia="Calibri" w:hAnsi="Times New Roman" w:cs="Times New Roman"/>
              </w:rPr>
              <w:t xml:space="preserve">podobnie jak kwestia zapewnienia </w:t>
            </w:r>
            <w:r w:rsidR="008801D4">
              <w:rPr>
                <w:rFonts w:ascii="Times New Roman" w:eastAsia="Calibri" w:hAnsi="Times New Roman" w:cs="Times New Roman"/>
              </w:rPr>
              <w:t xml:space="preserve">finansowania </w:t>
            </w:r>
            <w:r w:rsidR="00C63AF6">
              <w:rPr>
                <w:rFonts w:ascii="Times New Roman" w:eastAsia="Calibri" w:hAnsi="Times New Roman" w:cs="Times New Roman"/>
              </w:rPr>
              <w:t xml:space="preserve">nowoczesnych, zgodnych ze światowymi standardami technologii medycznych </w:t>
            </w:r>
            <w:r w:rsidR="00871C8C">
              <w:rPr>
                <w:rFonts w:ascii="Times New Roman" w:eastAsia="Calibri" w:hAnsi="Times New Roman" w:cs="Times New Roman"/>
              </w:rPr>
              <w:t>stosowanych w leczeniu nowotworów piersi</w:t>
            </w:r>
            <w:r w:rsidR="00C63AF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istotne jest </w:t>
            </w:r>
            <w:r w:rsidR="00871C8C">
              <w:rPr>
                <w:rFonts w:ascii="Times New Roman" w:eastAsia="Calibri" w:hAnsi="Times New Roman" w:cs="Times New Roman"/>
              </w:rPr>
              <w:t>wdrożenie sprawdzonych</w:t>
            </w:r>
            <w:r>
              <w:rPr>
                <w:rFonts w:ascii="Times New Roman" w:eastAsia="Calibri" w:hAnsi="Times New Roman" w:cs="Times New Roman"/>
              </w:rPr>
              <w:t xml:space="preserve"> rozwiązań, które będą wspierać zachowanie</w:t>
            </w:r>
            <w:r w:rsidR="00C63AF6">
              <w:rPr>
                <w:rFonts w:ascii="Times New Roman" w:eastAsia="Calibri" w:hAnsi="Times New Roman" w:cs="Times New Roman"/>
              </w:rPr>
              <w:t xml:space="preserve"> wysokiej</w:t>
            </w:r>
            <w:r>
              <w:rPr>
                <w:rFonts w:ascii="Times New Roman" w:eastAsia="Calibri" w:hAnsi="Times New Roman" w:cs="Times New Roman"/>
              </w:rPr>
              <w:t xml:space="preserve"> jakości </w:t>
            </w:r>
            <w:r w:rsidR="00C63AF6">
              <w:rPr>
                <w:rFonts w:ascii="Times New Roman" w:eastAsia="Calibri" w:hAnsi="Times New Roman" w:cs="Times New Roman"/>
              </w:rPr>
              <w:t>udzielanych świadczeń oraz</w:t>
            </w:r>
            <w:r>
              <w:rPr>
                <w:rFonts w:ascii="Times New Roman" w:eastAsia="Calibri" w:hAnsi="Times New Roman" w:cs="Times New Roman"/>
              </w:rPr>
              <w:t xml:space="preserve"> ciągłości opieki nad </w:t>
            </w:r>
            <w:r w:rsidR="00C63AF6">
              <w:rPr>
                <w:rFonts w:ascii="Times New Roman" w:eastAsia="Calibri" w:hAnsi="Times New Roman" w:cs="Times New Roman"/>
              </w:rPr>
              <w:t>świadczeniobiorcą</w:t>
            </w:r>
            <w:r>
              <w:rPr>
                <w:rFonts w:ascii="Times New Roman" w:eastAsia="Calibri" w:hAnsi="Times New Roman" w:cs="Times New Roman"/>
              </w:rPr>
              <w:t xml:space="preserve"> z </w:t>
            </w:r>
            <w:r w:rsidR="00C63AF6">
              <w:rPr>
                <w:rFonts w:ascii="Times New Roman" w:eastAsia="Calibri" w:hAnsi="Times New Roman" w:cs="Times New Roman"/>
              </w:rPr>
              <w:t xml:space="preserve">nowotworem </w:t>
            </w:r>
            <w:r>
              <w:rPr>
                <w:rFonts w:ascii="Times New Roman" w:eastAsia="Calibri" w:hAnsi="Times New Roman" w:cs="Times New Roman"/>
              </w:rPr>
              <w:t>piersi, a przez to efektywności wydatkowania środków publicznych przeznaczanych na ten cel.</w:t>
            </w:r>
          </w:p>
        </w:tc>
      </w:tr>
      <w:tr w:rsidR="007B1E52" w:rsidRPr="00442C01" w14:paraId="3C1980D6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CFFC93" w14:textId="77777777" w:rsidR="007B1E52" w:rsidRPr="00442C01" w:rsidRDefault="007B1E52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7B1E52" w:rsidRPr="00442C01" w14:paraId="2B054304" w14:textId="77777777" w:rsidTr="003272EA">
        <w:trPr>
          <w:gridAfter w:val="1"/>
          <w:wAfter w:w="10" w:type="dxa"/>
          <w:trHeight w:val="529"/>
        </w:trPr>
        <w:tc>
          <w:tcPr>
            <w:tcW w:w="10937" w:type="dxa"/>
            <w:gridSpan w:val="29"/>
            <w:shd w:val="clear" w:color="auto" w:fill="auto"/>
          </w:tcPr>
          <w:p w14:paraId="3970637D" w14:textId="73877BD9" w:rsidR="00BC72DF" w:rsidRDefault="00CD755B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W</w:t>
            </w:r>
            <w:r w:rsidR="00871C8C">
              <w:rPr>
                <w:rFonts w:ascii="Times New Roman" w:eastAsia="Calibri" w:hAnsi="Times New Roman" w:cs="Times New Roman"/>
                <w:bCs/>
                <w:lang w:eastAsia="pl-PL"/>
              </w:rPr>
              <w:t>yodrębnienie w rozporządzeniu</w:t>
            </w:r>
            <w:r w:rsidR="00BC72DF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Ministra Zdrowia z</w:t>
            </w:r>
            <w:r w:rsidR="00BC72DF">
              <w:rPr>
                <w:rFonts w:ascii="Times New Roman" w:eastAsia="Calibri" w:hAnsi="Times New Roman" w:cs="Times New Roman"/>
              </w:rPr>
              <w:t xml:space="preserve"> dnia </w:t>
            </w:r>
            <w:r w:rsidR="00E4390D">
              <w:rPr>
                <w:rFonts w:ascii="Times New Roman" w:eastAsia="Calibri" w:hAnsi="Times New Roman" w:cs="Times New Roman"/>
              </w:rPr>
              <w:t>6</w:t>
            </w:r>
            <w:r w:rsidR="00BC72DF">
              <w:rPr>
                <w:rFonts w:ascii="Times New Roman" w:eastAsia="Calibri" w:hAnsi="Times New Roman" w:cs="Times New Roman"/>
              </w:rPr>
              <w:t xml:space="preserve"> listopada 2013 r. w </w:t>
            </w:r>
            <w:r w:rsidR="00BC72DF" w:rsidRPr="00305214">
              <w:rPr>
                <w:rFonts w:ascii="Times New Roman" w:eastAsia="Calibri" w:hAnsi="Times New Roman" w:cs="Times New Roman"/>
              </w:rPr>
              <w:t>spr</w:t>
            </w:r>
            <w:r w:rsidR="00BC72DF">
              <w:rPr>
                <w:rFonts w:ascii="Times New Roman" w:eastAsia="Calibri" w:hAnsi="Times New Roman" w:cs="Times New Roman"/>
              </w:rPr>
              <w:t>awie świadczeń gwarantowanych z </w:t>
            </w:r>
            <w:r w:rsidR="00BC72DF" w:rsidRPr="00305214">
              <w:rPr>
                <w:rFonts w:ascii="Times New Roman" w:eastAsia="Calibri" w:hAnsi="Times New Roman" w:cs="Times New Roman"/>
              </w:rPr>
              <w:t xml:space="preserve">zakresu </w:t>
            </w:r>
            <w:r w:rsidR="00E4390D">
              <w:rPr>
                <w:rFonts w:ascii="Times New Roman" w:eastAsia="Calibri" w:hAnsi="Times New Roman" w:cs="Times New Roman"/>
              </w:rPr>
              <w:t xml:space="preserve">rehabilitacji leczniczej </w:t>
            </w:r>
            <w:r w:rsidR="00BC72DF">
              <w:rPr>
                <w:rFonts w:ascii="Times New Roman" w:eastAsia="Calibri" w:hAnsi="Times New Roman" w:cs="Times New Roman"/>
              </w:rPr>
              <w:t>przepisów dotyczących</w:t>
            </w:r>
            <w:r w:rsidR="00871C8C">
              <w:rPr>
                <w:rFonts w:ascii="Times New Roman" w:eastAsia="Calibri" w:hAnsi="Times New Roman" w:cs="Times New Roman"/>
              </w:rPr>
              <w:t xml:space="preserve"> szczegółowych warunków realizacji świadczenia kompleksowej opieki onkologicznej nad świadczeniobiorcą z nowotworem piersi</w:t>
            </w:r>
            <w:r w:rsidR="00BC72DF">
              <w:rPr>
                <w:rFonts w:ascii="Times New Roman" w:eastAsia="Calibri" w:hAnsi="Times New Roman" w:cs="Times New Roman"/>
              </w:rPr>
              <w:t xml:space="preserve"> </w:t>
            </w:r>
            <w:r w:rsidR="00E4390D">
              <w:rPr>
                <w:rFonts w:ascii="Times New Roman" w:eastAsia="Calibri" w:hAnsi="Times New Roman" w:cs="Times New Roman"/>
              </w:rPr>
              <w:t xml:space="preserve">w odniesieniu do standardu prowadzenia i zakresu realizowanych świadczeń rehabilitacji leczniczej wymaganych po leczeniu świadczeniobiorcy z nowotworem piersi. Zaproponowane rozwiązanie </w:t>
            </w:r>
            <w:r w:rsidR="00BC72DF">
              <w:rPr>
                <w:rFonts w:ascii="Times New Roman" w:eastAsia="Calibri" w:hAnsi="Times New Roman" w:cs="Times New Roman"/>
              </w:rPr>
              <w:t xml:space="preserve">zostało </w:t>
            </w:r>
            <w:r w:rsidR="00871C8C">
              <w:rPr>
                <w:rFonts w:ascii="Times New Roman" w:eastAsia="Calibri" w:hAnsi="Times New Roman" w:cs="Times New Roman"/>
              </w:rPr>
              <w:t xml:space="preserve">wypracowane w </w:t>
            </w:r>
            <w:r w:rsidR="00C63AF6">
              <w:rPr>
                <w:rFonts w:ascii="Times New Roman" w:eastAsia="Calibri" w:hAnsi="Times New Roman" w:cs="Times New Roman"/>
              </w:rPr>
              <w:t>procesie zmiany warunków realizacji świadczeń gwarantowanych</w:t>
            </w:r>
            <w:r w:rsidR="00E4390D">
              <w:rPr>
                <w:rFonts w:ascii="Times New Roman" w:eastAsia="Calibri" w:hAnsi="Times New Roman" w:cs="Times New Roman"/>
              </w:rPr>
              <w:t>, w </w:t>
            </w:r>
            <w:r w:rsidR="00871C8C">
              <w:rPr>
                <w:rFonts w:ascii="Times New Roman" w:eastAsia="Calibri" w:hAnsi="Times New Roman" w:cs="Times New Roman"/>
              </w:rPr>
              <w:t xml:space="preserve">którym wykorzystano rozwiązania analityczne opracowane przez </w:t>
            </w:r>
            <w:r w:rsidR="00BC72DF">
              <w:rPr>
                <w:rFonts w:ascii="Times New Roman" w:eastAsia="Calibri" w:hAnsi="Times New Roman" w:cs="Times New Roman"/>
              </w:rPr>
              <w:t>Agencj</w:t>
            </w:r>
            <w:r w:rsidR="00871C8C">
              <w:rPr>
                <w:rFonts w:ascii="Times New Roman" w:eastAsia="Calibri" w:hAnsi="Times New Roman" w:cs="Times New Roman"/>
              </w:rPr>
              <w:t>ę</w:t>
            </w:r>
            <w:r w:rsidR="00BC72DF">
              <w:rPr>
                <w:rFonts w:ascii="Times New Roman" w:eastAsia="Calibri" w:hAnsi="Times New Roman" w:cs="Times New Roman"/>
              </w:rPr>
              <w:t xml:space="preserve"> Oceny Technologii Medycznych i Taryfikacji.</w:t>
            </w:r>
          </w:p>
          <w:p w14:paraId="101B1700" w14:textId="3BE03677" w:rsidR="00326AA8" w:rsidRDefault="00326AA8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Przedmiotowy projekt jest jednym z trzech projektów (obok projektu MZ 62</w:t>
            </w:r>
            <w:r w:rsidR="00E4390D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oraz projektu MZ 62</w:t>
            </w:r>
            <w:r w:rsidR="00E4390D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) wdrażających standard opieki kompleksowej nad świadczeniobiorcą z nowotworem piersi. Z uw</w:t>
            </w:r>
            <w:r w:rsidR="000E29A2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gi na obecną strukturę wykazu świadczeń gwarantowanych, mając na względzie szeroki zakres technologii medycznych wymaganych do właściwej opieki nad świadczeniobiorcą z nowotworem piersi, konieczne jest łączne i jednoczasowe wdrożenie zmian, aby zrealizować cel, jakim jest zapewnienie należytej jakości i ciągłości opieki nad świadczeniobiorcą </w:t>
            </w:r>
          </w:p>
          <w:p w14:paraId="6161AB1E" w14:textId="69804806" w:rsidR="0022446D" w:rsidRPr="0022446D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46D">
              <w:rPr>
                <w:rFonts w:ascii="Times New Roman" w:eastAsia="Calibri" w:hAnsi="Times New Roman" w:cs="Times New Roman"/>
              </w:rPr>
              <w:t xml:space="preserve">W ramach świadczenia </w:t>
            </w:r>
            <w:r w:rsidR="00871C8C">
              <w:rPr>
                <w:rFonts w:ascii="Times New Roman" w:eastAsia="Calibri" w:hAnsi="Times New Roman" w:cs="Times New Roman"/>
              </w:rPr>
              <w:t xml:space="preserve">kompleksowej opieki onkologicznej nad świadczeniobiorcą z nowotworem piersi </w:t>
            </w:r>
            <w:r w:rsidRPr="0022446D">
              <w:rPr>
                <w:rFonts w:ascii="Times New Roman" w:eastAsia="Calibri" w:hAnsi="Times New Roman" w:cs="Times New Roman"/>
              </w:rPr>
              <w:t>wyróżnia się następujące, niezbędne czynniki do wdrożenia:</w:t>
            </w:r>
          </w:p>
          <w:p w14:paraId="7AEE7F87" w14:textId="239638EA" w:rsidR="0022446D" w:rsidRPr="0022446D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86FD4">
              <w:rPr>
                <w:rFonts w:ascii="Times New Roman" w:eastAsia="Calibri" w:hAnsi="Times New Roman" w:cs="Times New Roman"/>
              </w:rPr>
              <w:t>)</w:t>
            </w:r>
            <w:r w:rsidRPr="0022446D">
              <w:rPr>
                <w:rFonts w:ascii="Times New Roman" w:eastAsia="Calibri" w:hAnsi="Times New Roman" w:cs="Times New Roman"/>
              </w:rPr>
              <w:t xml:space="preserve"> gwarancja kompleksowości </w:t>
            </w:r>
            <w:r>
              <w:rPr>
                <w:rFonts w:ascii="Times New Roman" w:eastAsia="Calibri" w:hAnsi="Times New Roman" w:cs="Times New Roman"/>
              </w:rPr>
              <w:t>opieki medycznej</w:t>
            </w:r>
            <w:r w:rsidRPr="0022446D">
              <w:rPr>
                <w:rFonts w:ascii="Times New Roman" w:eastAsia="Calibri" w:hAnsi="Times New Roman" w:cs="Times New Roman"/>
              </w:rPr>
              <w:t>, tj. zapewnienie diagnostyki, leczenia operacyjnego wraz z opieką pooperacyjną, leczenia farmakologicznego (hormonoterapia), leczenia chemioterapią oraz radioterapią, realizację programu zdrowotnego (lekowego) w zakresie nowotworów piersi, rehabilitacji, opiekę psychologiczną oraz opiekę paliatywną/ hospicyjną;</w:t>
            </w:r>
          </w:p>
          <w:p w14:paraId="2A9F51E2" w14:textId="55124000" w:rsidR="0022446D" w:rsidRPr="0022446D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86FD4">
              <w:rPr>
                <w:rFonts w:ascii="Times New Roman" w:eastAsia="Calibri" w:hAnsi="Times New Roman" w:cs="Times New Roman"/>
              </w:rPr>
              <w:t>)</w:t>
            </w:r>
            <w:r w:rsidRPr="0022446D">
              <w:rPr>
                <w:rFonts w:ascii="Times New Roman" w:eastAsia="Calibri" w:hAnsi="Times New Roman" w:cs="Times New Roman"/>
              </w:rPr>
              <w:t xml:space="preserve"> zapewnienie właściwej koordynacji oraz nadzoru nad realizacją świadczeń w ustalonych ramach czasowych;</w:t>
            </w:r>
          </w:p>
          <w:p w14:paraId="3D151E0C" w14:textId="5AF88668" w:rsidR="0022446D" w:rsidRPr="0022446D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86FD4">
              <w:rPr>
                <w:rFonts w:ascii="Times New Roman" w:eastAsia="Calibri" w:hAnsi="Times New Roman" w:cs="Times New Roman"/>
              </w:rPr>
              <w:t>)</w:t>
            </w:r>
            <w:r w:rsidRPr="0022446D">
              <w:rPr>
                <w:rFonts w:ascii="Times New Roman" w:eastAsia="Calibri" w:hAnsi="Times New Roman" w:cs="Times New Roman"/>
              </w:rPr>
              <w:t xml:space="preserve"> zapewnienie możliwości bezpośredniego dostępu do ośrodka wiodącego bez skierowania (</w:t>
            </w:r>
            <w:r w:rsidR="00896C71">
              <w:rPr>
                <w:rFonts w:ascii="Times New Roman" w:eastAsia="Calibri" w:hAnsi="Times New Roman" w:cs="Times New Roman"/>
              </w:rPr>
              <w:t>świadczeniobiorca</w:t>
            </w:r>
            <w:r w:rsidRPr="0022446D">
              <w:rPr>
                <w:rFonts w:ascii="Times New Roman" w:eastAsia="Calibri" w:hAnsi="Times New Roman" w:cs="Times New Roman"/>
              </w:rPr>
              <w:t xml:space="preserve"> samo zgłaszający się), jak również </w:t>
            </w:r>
            <w:r w:rsidR="00896C71">
              <w:rPr>
                <w:rFonts w:ascii="Times New Roman" w:eastAsia="Calibri" w:hAnsi="Times New Roman" w:cs="Times New Roman"/>
              </w:rPr>
              <w:t>dla świadczeniobiorcy</w:t>
            </w:r>
            <w:r w:rsidRPr="0022446D">
              <w:rPr>
                <w:rFonts w:ascii="Times New Roman" w:eastAsia="Calibri" w:hAnsi="Times New Roman" w:cs="Times New Roman"/>
              </w:rPr>
              <w:t>, u któr</w:t>
            </w:r>
            <w:r w:rsidR="00896C71">
              <w:rPr>
                <w:rFonts w:ascii="Times New Roman" w:eastAsia="Calibri" w:hAnsi="Times New Roman" w:cs="Times New Roman"/>
              </w:rPr>
              <w:t>ego</w:t>
            </w:r>
            <w:r w:rsidRPr="0022446D">
              <w:rPr>
                <w:rFonts w:ascii="Times New Roman" w:eastAsia="Calibri" w:hAnsi="Times New Roman" w:cs="Times New Roman"/>
              </w:rPr>
              <w:t xml:space="preserve"> lekarz </w:t>
            </w:r>
            <w:r w:rsidR="00986FD4">
              <w:rPr>
                <w:rFonts w:ascii="Times New Roman" w:eastAsia="Calibri" w:hAnsi="Times New Roman" w:cs="Times New Roman"/>
              </w:rPr>
              <w:t>podstawowej opieki zdrowotnej</w:t>
            </w:r>
            <w:r w:rsidRPr="0022446D">
              <w:rPr>
                <w:rFonts w:ascii="Times New Roman" w:eastAsia="Calibri" w:hAnsi="Times New Roman" w:cs="Times New Roman"/>
              </w:rPr>
              <w:t xml:space="preserve"> lub lekarz specjalista podejrzewa lub rozpoznaje nowotwór złośliwy piersi oraz </w:t>
            </w:r>
            <w:r w:rsidR="00896C71">
              <w:rPr>
                <w:rFonts w:ascii="Times New Roman" w:eastAsia="Calibri" w:hAnsi="Times New Roman" w:cs="Times New Roman"/>
              </w:rPr>
              <w:t xml:space="preserve">dla świadczeniobiorcy </w:t>
            </w:r>
            <w:r w:rsidRPr="0022446D">
              <w:rPr>
                <w:rFonts w:ascii="Times New Roman" w:eastAsia="Calibri" w:hAnsi="Times New Roman" w:cs="Times New Roman"/>
              </w:rPr>
              <w:t>skierowan</w:t>
            </w:r>
            <w:r w:rsidR="00896C71">
              <w:rPr>
                <w:rFonts w:ascii="Times New Roman" w:eastAsia="Calibri" w:hAnsi="Times New Roman" w:cs="Times New Roman"/>
              </w:rPr>
              <w:t>ego</w:t>
            </w:r>
            <w:r w:rsidRPr="0022446D">
              <w:rPr>
                <w:rFonts w:ascii="Times New Roman" w:eastAsia="Calibri" w:hAnsi="Times New Roman" w:cs="Times New Roman"/>
              </w:rPr>
              <w:t xml:space="preserve"> z przesiewowego programu profilaktyki raka piersi;</w:t>
            </w:r>
          </w:p>
          <w:p w14:paraId="6E2E8F1E" w14:textId="0B492A23" w:rsidR="0022446D" w:rsidRPr="0022446D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86FD4">
              <w:rPr>
                <w:rFonts w:ascii="Times New Roman" w:eastAsia="Calibri" w:hAnsi="Times New Roman" w:cs="Times New Roman"/>
              </w:rPr>
              <w:t>)</w:t>
            </w:r>
            <w:r w:rsidRPr="0022446D">
              <w:rPr>
                <w:rFonts w:ascii="Times New Roman" w:eastAsia="Calibri" w:hAnsi="Times New Roman" w:cs="Times New Roman"/>
              </w:rPr>
              <w:t xml:space="preserve"> zapewnienie </w:t>
            </w:r>
            <w:r w:rsidR="00896C71">
              <w:rPr>
                <w:rFonts w:ascii="Times New Roman" w:eastAsia="Calibri" w:hAnsi="Times New Roman" w:cs="Times New Roman"/>
              </w:rPr>
              <w:t>stałej współpracy i zaangażowania</w:t>
            </w:r>
            <w:r w:rsidRPr="0022446D">
              <w:rPr>
                <w:rFonts w:ascii="Times New Roman" w:eastAsia="Calibri" w:hAnsi="Times New Roman" w:cs="Times New Roman"/>
              </w:rPr>
              <w:t xml:space="preserve"> interdyscyplinarnego zespołu</w:t>
            </w:r>
            <w:r w:rsidR="00896C71">
              <w:rPr>
                <w:rFonts w:ascii="Times New Roman" w:eastAsia="Calibri" w:hAnsi="Times New Roman" w:cs="Times New Roman"/>
              </w:rPr>
              <w:t xml:space="preserve"> ekspertów w planowaniu i realizacji opieki</w:t>
            </w:r>
            <w:r w:rsidRPr="0022446D">
              <w:rPr>
                <w:rFonts w:ascii="Times New Roman" w:eastAsia="Calibri" w:hAnsi="Times New Roman" w:cs="Times New Roman"/>
              </w:rPr>
              <w:t>;</w:t>
            </w:r>
          </w:p>
          <w:p w14:paraId="0B356D29" w14:textId="10E238D7" w:rsidR="0022446D" w:rsidRPr="0022446D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86FD4">
              <w:rPr>
                <w:rFonts w:ascii="Times New Roman" w:eastAsia="Calibri" w:hAnsi="Times New Roman" w:cs="Times New Roman"/>
              </w:rPr>
              <w:t>)</w:t>
            </w:r>
            <w:r w:rsidRPr="0022446D">
              <w:rPr>
                <w:rFonts w:ascii="Times New Roman" w:eastAsia="Calibri" w:hAnsi="Times New Roman" w:cs="Times New Roman"/>
              </w:rPr>
              <w:t xml:space="preserve"> zapewnienie optymalnie wysokiej jakości realizowanych świadczeń, zdefiniowanych </w:t>
            </w:r>
            <w:r>
              <w:rPr>
                <w:rFonts w:ascii="Times New Roman" w:eastAsia="Calibri" w:hAnsi="Times New Roman" w:cs="Times New Roman"/>
              </w:rPr>
              <w:t xml:space="preserve">między innymi </w:t>
            </w:r>
            <w:r w:rsidRPr="0022446D">
              <w:rPr>
                <w:rFonts w:ascii="Times New Roman" w:eastAsia="Calibri" w:hAnsi="Times New Roman" w:cs="Times New Roman"/>
              </w:rPr>
              <w:t xml:space="preserve">przez minimalną liczbę zabiegów realizowanych przez </w:t>
            </w:r>
            <w:r w:rsidR="00896C71">
              <w:rPr>
                <w:rFonts w:ascii="Times New Roman" w:eastAsia="Calibri" w:hAnsi="Times New Roman" w:cs="Times New Roman"/>
              </w:rPr>
              <w:t xml:space="preserve">świadczeniodawcę oraz przez lekarzy specjalistów </w:t>
            </w:r>
            <w:r w:rsidRPr="0022446D">
              <w:rPr>
                <w:rFonts w:ascii="Times New Roman" w:eastAsia="Calibri" w:hAnsi="Times New Roman" w:cs="Times New Roman"/>
              </w:rPr>
              <w:t xml:space="preserve">w roku </w:t>
            </w:r>
            <w:r w:rsidR="00896C71">
              <w:rPr>
                <w:rFonts w:ascii="Times New Roman" w:eastAsia="Calibri" w:hAnsi="Times New Roman" w:cs="Times New Roman"/>
              </w:rPr>
              <w:t xml:space="preserve">kalendarzowym </w:t>
            </w:r>
            <w:r w:rsidRPr="0022446D">
              <w:rPr>
                <w:rFonts w:ascii="Times New Roman" w:eastAsia="Calibri" w:hAnsi="Times New Roman" w:cs="Times New Roman"/>
              </w:rPr>
              <w:t xml:space="preserve">z zakresu </w:t>
            </w:r>
            <w:r w:rsidRPr="0022446D">
              <w:rPr>
                <w:rFonts w:ascii="Times New Roman" w:eastAsia="Calibri" w:hAnsi="Times New Roman" w:cs="Times New Roman"/>
              </w:rPr>
              <w:lastRenderedPageBreak/>
              <w:t>chirurgii;</w:t>
            </w:r>
          </w:p>
          <w:p w14:paraId="1BA969BB" w14:textId="51AB4574" w:rsidR="0022446D" w:rsidRPr="0022446D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86FD4">
              <w:rPr>
                <w:rFonts w:ascii="Times New Roman" w:eastAsia="Calibri" w:hAnsi="Times New Roman" w:cs="Times New Roman"/>
              </w:rPr>
              <w:t>)</w:t>
            </w:r>
            <w:r w:rsidRPr="0022446D">
              <w:rPr>
                <w:rFonts w:ascii="Times New Roman" w:eastAsia="Calibri" w:hAnsi="Times New Roman" w:cs="Times New Roman"/>
              </w:rPr>
              <w:t xml:space="preserve"> zapewnienie </w:t>
            </w:r>
            <w:r w:rsidR="00896C71">
              <w:rPr>
                <w:rFonts w:ascii="Times New Roman" w:eastAsia="Calibri" w:hAnsi="Times New Roman" w:cs="Times New Roman"/>
              </w:rPr>
              <w:t xml:space="preserve">świadczeniobiorcy </w:t>
            </w:r>
            <w:r w:rsidRPr="0022446D">
              <w:rPr>
                <w:rFonts w:ascii="Times New Roman" w:eastAsia="Calibri" w:hAnsi="Times New Roman" w:cs="Times New Roman"/>
              </w:rPr>
              <w:t>bliskiego dostępu do świadczeń w zakresie chemioterapii, radioterapii</w:t>
            </w:r>
            <w:r w:rsidR="00896C71">
              <w:rPr>
                <w:rFonts w:ascii="Times New Roman" w:eastAsia="Calibri" w:hAnsi="Times New Roman" w:cs="Times New Roman"/>
              </w:rPr>
              <w:t>, a jednocześnie zapewnienie gwarancji, że opieka jest skoordynowana i działania poszczególnych lekarzy specjalistów są ukierunkowane na uzyskanie tego samego i jak największego efektu zdrowotnego</w:t>
            </w:r>
            <w:r w:rsidRPr="0022446D">
              <w:rPr>
                <w:rFonts w:ascii="Times New Roman" w:eastAsia="Calibri" w:hAnsi="Times New Roman" w:cs="Times New Roman"/>
              </w:rPr>
              <w:t>;</w:t>
            </w:r>
          </w:p>
          <w:p w14:paraId="4D49E860" w14:textId="3D94CA94" w:rsidR="0022446D" w:rsidRPr="0022446D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986FD4">
              <w:rPr>
                <w:rFonts w:ascii="Times New Roman" w:eastAsia="Calibri" w:hAnsi="Times New Roman" w:cs="Times New Roman"/>
              </w:rPr>
              <w:t>)</w:t>
            </w:r>
            <w:r w:rsidRPr="0022446D">
              <w:rPr>
                <w:rFonts w:ascii="Times New Roman" w:eastAsia="Calibri" w:hAnsi="Times New Roman" w:cs="Times New Roman"/>
              </w:rPr>
              <w:t xml:space="preserve"> zapewnienie bliskiego dostępu do rehabilitacji </w:t>
            </w:r>
            <w:r w:rsidR="00896C71">
              <w:rPr>
                <w:rFonts w:ascii="Times New Roman" w:eastAsia="Calibri" w:hAnsi="Times New Roman" w:cs="Times New Roman"/>
              </w:rPr>
              <w:t xml:space="preserve">leczniczej po </w:t>
            </w:r>
            <w:r w:rsidRPr="0022446D">
              <w:rPr>
                <w:rFonts w:ascii="Times New Roman" w:eastAsia="Calibri" w:hAnsi="Times New Roman" w:cs="Times New Roman"/>
              </w:rPr>
              <w:t>leczeni</w:t>
            </w:r>
            <w:r w:rsidR="00896C71">
              <w:rPr>
                <w:rFonts w:ascii="Times New Roman" w:eastAsia="Calibri" w:hAnsi="Times New Roman" w:cs="Times New Roman"/>
              </w:rPr>
              <w:t>u</w:t>
            </w:r>
            <w:r w:rsidRPr="0022446D">
              <w:rPr>
                <w:rFonts w:ascii="Times New Roman" w:eastAsia="Calibri" w:hAnsi="Times New Roman" w:cs="Times New Roman"/>
              </w:rPr>
              <w:t xml:space="preserve"> choroby nowotworowej piersi przez dostosowanie przestrzenne (populacyjno</w:t>
            </w:r>
            <w:r w:rsidR="00986FD4">
              <w:rPr>
                <w:rFonts w:ascii="Times New Roman" w:eastAsia="Calibri" w:hAnsi="Times New Roman" w:cs="Times New Roman"/>
              </w:rPr>
              <w:t>-</w:t>
            </w:r>
            <w:r w:rsidRPr="0022446D">
              <w:rPr>
                <w:rFonts w:ascii="Times New Roman" w:eastAsia="Calibri" w:hAnsi="Times New Roman" w:cs="Times New Roman"/>
              </w:rPr>
              <w:t>geograficzne);</w:t>
            </w:r>
          </w:p>
          <w:p w14:paraId="461EFB68" w14:textId="102C7692" w:rsidR="004B6C80" w:rsidRDefault="0022446D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986FD4">
              <w:rPr>
                <w:rFonts w:ascii="Times New Roman" w:eastAsia="Calibri" w:hAnsi="Times New Roman" w:cs="Times New Roman"/>
              </w:rPr>
              <w:t>)</w:t>
            </w:r>
            <w:r w:rsidRPr="0022446D">
              <w:rPr>
                <w:rFonts w:ascii="Times New Roman" w:eastAsia="Calibri" w:hAnsi="Times New Roman" w:cs="Times New Roman"/>
              </w:rPr>
              <w:t xml:space="preserve"> zapewnienie monitorowania stanu </w:t>
            </w:r>
            <w:r w:rsidR="00896C71">
              <w:rPr>
                <w:rFonts w:ascii="Times New Roman" w:eastAsia="Calibri" w:hAnsi="Times New Roman" w:cs="Times New Roman"/>
              </w:rPr>
              <w:t>świadczeniobiorcy</w:t>
            </w:r>
            <w:r w:rsidRPr="0022446D">
              <w:rPr>
                <w:rFonts w:ascii="Times New Roman" w:eastAsia="Calibri" w:hAnsi="Times New Roman" w:cs="Times New Roman"/>
              </w:rPr>
              <w:t xml:space="preserve"> po </w:t>
            </w:r>
            <w:r>
              <w:rPr>
                <w:rFonts w:ascii="Times New Roman" w:eastAsia="Calibri" w:hAnsi="Times New Roman" w:cs="Times New Roman"/>
              </w:rPr>
              <w:t>za</w:t>
            </w:r>
            <w:r w:rsidRPr="0022446D">
              <w:rPr>
                <w:rFonts w:ascii="Times New Roman" w:eastAsia="Calibri" w:hAnsi="Times New Roman" w:cs="Times New Roman"/>
              </w:rPr>
              <w:t>kończeniu procesu terapeutycznego</w:t>
            </w:r>
            <w:r w:rsidR="00B80E3D">
              <w:rPr>
                <w:rFonts w:ascii="Times New Roman" w:eastAsia="Calibri" w:hAnsi="Times New Roman" w:cs="Times New Roman"/>
              </w:rPr>
              <w:t xml:space="preserve"> i rehabilitacyjnego</w:t>
            </w:r>
            <w:r w:rsidRPr="0022446D">
              <w:rPr>
                <w:rFonts w:ascii="Times New Roman" w:eastAsia="Calibri" w:hAnsi="Times New Roman" w:cs="Times New Roman"/>
              </w:rPr>
              <w:t>.</w:t>
            </w:r>
          </w:p>
          <w:p w14:paraId="60BC1883" w14:textId="1CFCA39B" w:rsidR="00C63AF6" w:rsidRPr="00C63AF6" w:rsidRDefault="00C63AF6" w:rsidP="005C5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Celem wdrażanych zmian jest poprawa efektywności realizacji świadczeń, co ma przełożyć się na poprawę zdrowia i</w:t>
            </w:r>
            <w:r w:rsidR="00B80E3D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wydłużenie życia świadczen</w:t>
            </w:r>
            <w:r w:rsidR="00B80E3D">
              <w:rPr>
                <w:rFonts w:ascii="Times New Roman" w:eastAsia="Calibri" w:hAnsi="Times New Roman" w:cs="Times New Roman"/>
              </w:rPr>
              <w:t>iobiorców z nowotworami piersi.</w:t>
            </w:r>
          </w:p>
        </w:tc>
      </w:tr>
      <w:tr w:rsidR="007B1E52" w:rsidRPr="00442C01" w14:paraId="122A2D81" w14:textId="77777777" w:rsidTr="00B17DC3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E8B9BD" w14:textId="77777777" w:rsidR="007B1E52" w:rsidRPr="00442C01" w:rsidRDefault="007B1E52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442C01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7B1E52" w:rsidRPr="00442C01" w14:paraId="2D4BCB08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CA4FB2A" w14:textId="1164553B" w:rsidR="007B1E52" w:rsidRDefault="004B6C80" w:rsidP="008E38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C80">
              <w:rPr>
                <w:rFonts w:ascii="Times New Roman" w:eastAsia="Calibri" w:hAnsi="Times New Roman" w:cs="Times New Roman"/>
              </w:rPr>
              <w:t xml:space="preserve">Idea wprowadzenia ośrodków kompleksowej opieki nad </w:t>
            </w:r>
            <w:r w:rsidR="00B80E3D">
              <w:rPr>
                <w:rFonts w:ascii="Times New Roman" w:eastAsia="Calibri" w:hAnsi="Times New Roman" w:cs="Times New Roman"/>
              </w:rPr>
              <w:t>świadczeniobiorcą z nowotworem</w:t>
            </w:r>
            <w:r w:rsidRPr="004B6C80">
              <w:rPr>
                <w:rFonts w:ascii="Times New Roman" w:eastAsia="Calibri" w:hAnsi="Times New Roman" w:cs="Times New Roman"/>
              </w:rPr>
              <w:t xml:space="preserve"> piersi uzyskała poparcie wielu instytucji działających na rzecz poprawy zdrowia publicznego. Wśród tych ini</w:t>
            </w:r>
            <w:r>
              <w:rPr>
                <w:rFonts w:ascii="Times New Roman" w:eastAsia="Calibri" w:hAnsi="Times New Roman" w:cs="Times New Roman"/>
              </w:rPr>
              <w:t>cjatyw należy wyróżnić rezolucje</w:t>
            </w:r>
            <w:r w:rsidRPr="004B6C80">
              <w:rPr>
                <w:rFonts w:ascii="Times New Roman" w:eastAsia="Calibri" w:hAnsi="Times New Roman" w:cs="Times New Roman"/>
              </w:rPr>
              <w:t xml:space="preserve"> Parlamentu Europejskiego, wzywające państwa członkowskie U</w:t>
            </w:r>
            <w:r w:rsidR="00986FD4">
              <w:rPr>
                <w:rFonts w:ascii="Times New Roman" w:eastAsia="Calibri" w:hAnsi="Times New Roman" w:cs="Times New Roman"/>
              </w:rPr>
              <w:t xml:space="preserve">nii </w:t>
            </w:r>
            <w:r w:rsidRPr="004B6C80">
              <w:rPr>
                <w:rFonts w:ascii="Times New Roman" w:eastAsia="Calibri" w:hAnsi="Times New Roman" w:cs="Times New Roman"/>
              </w:rPr>
              <w:t>E</w:t>
            </w:r>
            <w:r w:rsidR="00986FD4">
              <w:rPr>
                <w:rFonts w:ascii="Times New Roman" w:eastAsia="Calibri" w:hAnsi="Times New Roman" w:cs="Times New Roman"/>
              </w:rPr>
              <w:t>uropejskiej</w:t>
            </w:r>
            <w:r w:rsidRPr="004B6C80">
              <w:rPr>
                <w:rFonts w:ascii="Times New Roman" w:eastAsia="Calibri" w:hAnsi="Times New Roman" w:cs="Times New Roman"/>
              </w:rPr>
              <w:t xml:space="preserve"> do stworzenia sieci takich ośrodków oraz działania towarzystw naukowych (np. SIS, EUSOMA). Badania naukowe wskazują na wysoką efektywność wprowadzenia ośrodków, dowodząc kilkunastoprocentowej poprawy wskaźnika 5-letnich przeżyć po wdrożeniu odpowiednich rozwiązań. Sieć ośrodków powinna powstać w oparciu o kryteria populacyjne, jak również inne, które mogą mieć wpływ na </w:t>
            </w:r>
            <w:r w:rsidR="00B80E3D">
              <w:rPr>
                <w:rFonts w:ascii="Times New Roman" w:eastAsia="Calibri" w:hAnsi="Times New Roman" w:cs="Times New Roman"/>
              </w:rPr>
              <w:t>dostępność świadczeń dla świadczeniobiorc</w:t>
            </w:r>
            <w:r w:rsidRPr="004B6C80">
              <w:rPr>
                <w:rFonts w:ascii="Times New Roman" w:eastAsia="Calibri" w:hAnsi="Times New Roman" w:cs="Times New Roman"/>
              </w:rPr>
              <w:t>ów.</w:t>
            </w:r>
          </w:p>
          <w:p w14:paraId="35A59B83" w14:textId="14CD88FF" w:rsidR="004B6C80" w:rsidRPr="00442C01" w:rsidRDefault="004B6C80" w:rsidP="008E38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Poparcie dla wprowadzenia kompleksowych, w tym skoordynowanych działań w opiece nad </w:t>
            </w:r>
            <w:r w:rsidR="00B80E3D">
              <w:rPr>
                <w:rFonts w:ascii="Times New Roman" w:eastAsia="Calibri" w:hAnsi="Times New Roman" w:cs="Times New Roman"/>
              </w:rPr>
              <w:t xml:space="preserve">świadczeniobiorcą z nowotworem </w:t>
            </w:r>
            <w:r>
              <w:rPr>
                <w:rFonts w:ascii="Times New Roman" w:eastAsia="Calibri" w:hAnsi="Times New Roman" w:cs="Times New Roman"/>
              </w:rPr>
              <w:t xml:space="preserve">piersi stanowi prawodawstwo Unii Europejskiej – dwie </w:t>
            </w:r>
            <w:r w:rsidR="00986FD4">
              <w:rPr>
                <w:rFonts w:ascii="Times New Roman" w:eastAsia="Calibri" w:hAnsi="Times New Roman" w:cs="Times New Roman"/>
              </w:rPr>
              <w:t>d</w:t>
            </w:r>
            <w:r>
              <w:rPr>
                <w:rFonts w:ascii="Times New Roman" w:eastAsia="Calibri" w:hAnsi="Times New Roman" w:cs="Times New Roman"/>
              </w:rPr>
              <w:t>yrektywy Parlamentu Europejskiego oraz światowe zalecenia postępowania wskazują na wyższą skuteczność leczenia kiedy leczenie to jest szybko zaplanowane i wdrażane</w:t>
            </w:r>
            <w:r w:rsidR="00CD755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B1E52" w:rsidRPr="00442C01" w14:paraId="7B0F025D" w14:textId="77777777" w:rsidTr="00B17DC3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FB8AE99" w14:textId="77777777" w:rsidR="007B1E52" w:rsidRPr="00442C01" w:rsidRDefault="007B1E52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7B1E52" w:rsidRPr="00442C01" w14:paraId="221D21D1" w14:textId="77777777" w:rsidTr="00B17DC3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09DAA160" w14:textId="77777777" w:rsidR="007B1E52" w:rsidRPr="00442C01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236D8F75" w14:textId="77777777" w:rsidR="007B1E52" w:rsidRPr="00442C01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554" w:type="dxa"/>
            <w:gridSpan w:val="10"/>
            <w:shd w:val="clear" w:color="auto" w:fill="auto"/>
          </w:tcPr>
          <w:p w14:paraId="3D253C18" w14:textId="77777777" w:rsidR="007B1E52" w:rsidRPr="00442C01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442C01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587F2E39" w14:textId="77777777" w:rsidR="007B1E52" w:rsidRPr="00442C01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AA4C62" w:rsidRPr="00442C01" w14:paraId="57B6927C" w14:textId="77777777" w:rsidTr="00B17DC3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52A711FC" w14:textId="77777777" w:rsidR="00AA4C62" w:rsidRPr="00442C01" w:rsidRDefault="00AA4C6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6E69E030" w14:textId="2636DF5D" w:rsidR="00AA4C62" w:rsidRPr="00442C01" w:rsidRDefault="00305214" w:rsidP="008E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</w:t>
            </w:r>
            <w:r w:rsidR="009113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70 000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6ECA8400" w14:textId="5851EB4C" w:rsidR="00AA4C62" w:rsidRPr="00442C01" w:rsidRDefault="00EB08C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Krajowy Rejestr Nowotworów, 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6C86AF87" w14:textId="77777777" w:rsidR="00EB08C2" w:rsidRDefault="00EB08C2" w:rsidP="008E3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Zapewnieni</w:t>
            </w:r>
            <w:r>
              <w:rPr>
                <w:rFonts w:ascii="Times New Roman" w:eastAsia="Calibri" w:hAnsi="Times New Roman" w:cs="Times New Roman"/>
              </w:rPr>
              <w:t>e ciągłości i jakości opieki w przypadku nowotworu piersi oraz poprawa komfortu i jakości życia w sytuacji wystąpienia nowotworu piersi i konieczności leczenia.</w:t>
            </w:r>
          </w:p>
          <w:p w14:paraId="6A36E9DC" w14:textId="52950AD4" w:rsidR="00EB08C2" w:rsidRPr="00442C01" w:rsidRDefault="00EB08C2" w:rsidP="008E3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Zwiększenie szans na wykrycie nowotworu i leczenie we wczesnym stadium choroby.</w:t>
            </w:r>
          </w:p>
        </w:tc>
      </w:tr>
      <w:tr w:rsidR="00B17DC3" w:rsidRPr="00442C01" w14:paraId="6FD5CEEA" w14:textId="77777777" w:rsidTr="00B17DC3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121E78AA" w14:textId="326072A8" w:rsidR="00B17DC3" w:rsidRPr="00442C01" w:rsidRDefault="00B17DC3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3607CE87" w14:textId="2A542818" w:rsidR="00B17DC3" w:rsidRPr="00442C01" w:rsidRDefault="00B80E3D" w:rsidP="008E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6</w:t>
            </w:r>
            <w:r w:rsidR="00B17D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648AD06E" w14:textId="7E7852B6" w:rsidR="00B17DC3" w:rsidRPr="00442C01" w:rsidRDefault="00B17DC3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Narodowy Fundusz Zdrowia</w:t>
            </w:r>
            <w:r w:rsidR="005C58D9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(NFZ)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3C6AFF6D" w14:textId="44C14B38" w:rsidR="00B17DC3" w:rsidRPr="00442C01" w:rsidRDefault="00EB08C2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Określenie standardu i zasad prowadzenia opieki nad świadczeniobiorcą z nowotworem piersi. Zobowiązanie do zapewnienia świadczeniobiorcom ciągłości opieki.</w:t>
            </w:r>
          </w:p>
        </w:tc>
      </w:tr>
      <w:tr w:rsidR="007B1E52" w:rsidRPr="00442C01" w14:paraId="73B60606" w14:textId="77777777" w:rsidTr="00B17DC3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6FCA6F" w14:textId="77777777" w:rsidR="007B1E52" w:rsidRPr="00442C01" w:rsidRDefault="007B1E52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B1E52" w:rsidRPr="00442C01" w14:paraId="0678BB02" w14:textId="77777777" w:rsidTr="00B17DC3">
        <w:trPr>
          <w:gridAfter w:val="1"/>
          <w:wAfter w:w="10" w:type="dxa"/>
          <w:trHeight w:val="562"/>
        </w:trPr>
        <w:tc>
          <w:tcPr>
            <w:tcW w:w="10937" w:type="dxa"/>
            <w:gridSpan w:val="29"/>
            <w:shd w:val="clear" w:color="auto" w:fill="FFFFFF"/>
          </w:tcPr>
          <w:p w14:paraId="2911FE34" w14:textId="77777777" w:rsidR="0010032A" w:rsidRPr="0010032A" w:rsidRDefault="0010032A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Projekt rozporządzenia nie był przedmiotem </w:t>
            </w:r>
            <w:proofErr w:type="spellStart"/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pre</w:t>
            </w:r>
            <w:proofErr w:type="spellEnd"/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-konsultacji.</w:t>
            </w:r>
          </w:p>
          <w:p w14:paraId="3251EBA1" w14:textId="37EF9CDF" w:rsidR="0010032A" w:rsidRPr="0010032A" w:rsidRDefault="0010032A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Konsultacje publiczne</w:t>
            </w:r>
            <w:r w:rsidR="003000F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będą przeprowadzone w okresie 30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dni.</w:t>
            </w:r>
          </w:p>
          <w:p w14:paraId="643A4C3D" w14:textId="3BC819C5" w:rsidR="008E381B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W ramach konsultacji publicznych i opiniowania projekt </w:t>
            </w:r>
            <w:r w:rsidR="00616FDF"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zosta</w:t>
            </w:r>
            <w:r w:rsidR="00616F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ł</w:t>
            </w:r>
            <w:r w:rsidR="00616FDF"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przesłany do zaopiniowania przez następujące podmioty:</w:t>
            </w:r>
          </w:p>
          <w:p w14:paraId="2B8BBE7E" w14:textId="3FAA1A85" w:rsidR="008E381B" w:rsidRPr="00D07385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a) konsultan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ci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krajow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i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w wybranych dziedzinach medycyny</w:t>
            </w:r>
            <w:r w:rsidR="0005312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oraz konsultanci krajowi w wybranych dziedzinach pielęgniarstwa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2B17A4B1" w14:textId="52DF0C74" w:rsidR="008E381B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b)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samorządy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zawodow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(Naczelna Rada Lekarska,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Naczelna Rada Aptekarska, Krajowa Rada Diagnostów Laboratoryjnych, 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Naczelna Rada Pielęgniarek i Położnych,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Krajowa </w:t>
            </w:r>
            <w:r w:rsidR="007E261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Rada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Fizjoterapeutów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),</w:t>
            </w:r>
          </w:p>
          <w:p w14:paraId="4515E7A0" w14:textId="77777777" w:rsidR="008E381B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c)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związki zawodowe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oraz stowarzyszenia reprezentując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zawody medyczne (tj.: Ogólnopolskie Porozumienie Związków Zawodowych, Ogólnopolski Związek Zawodowy Lekarzy, Ogólnopolski Związek Zawodowy Pielęgniarek i Położnych, Ogólnopolski Zwią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zek Zawodowy Lekarzy Radiologów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),</w:t>
            </w:r>
          </w:p>
          <w:p w14:paraId="7463D058" w14:textId="77777777" w:rsidR="008E381B" w:rsidRPr="00152F46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d)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stowarzyszenia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w ochronie zdrowia, w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tym z tymi działające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na rzecz pacjentów (tj.: Stowarzyszenie </w:t>
            </w:r>
            <w:proofErr w:type="spellStart"/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Primum</w:t>
            </w:r>
            <w:proofErr w:type="spellEnd"/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Non </w:t>
            </w:r>
            <w:proofErr w:type="spellStart"/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Nocere</w:t>
            </w:r>
            <w:proofErr w:type="spellEnd"/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 </w:t>
            </w:r>
            <w:r w:rsidRPr="00152F4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Federacja Pacjentów Polskich, Instytut Praw Pacjenta i Edukacji Zdrowotnej, Obywatelskie Stowarzyszenie – Dla Dobra Pacjenta), </w:t>
            </w:r>
          </w:p>
          <w:p w14:paraId="343CBD66" w14:textId="262544BE" w:rsidR="008E381B" w:rsidRPr="00152F46" w:rsidRDefault="008E381B" w:rsidP="008E381B">
            <w:pPr>
              <w:pStyle w:val="Teksttreci41"/>
              <w:numPr>
                <w:ilvl w:val="0"/>
                <w:numId w:val="4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52F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e) towarzystwa </w:t>
            </w:r>
            <w:r w:rsidR="007E261C" w:rsidRPr="00152F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>naukow</w:t>
            </w:r>
            <w:r w:rsidR="007E261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7E261C" w:rsidRPr="00152F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52F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(tj.: Polskie Towarzystwo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Onkologiczne,</w:t>
            </w:r>
            <w:r w:rsidRPr="00152F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Polskie Towarzystwo Onkologii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>Klinicznej</w:t>
            </w:r>
            <w:r w:rsidRPr="00152F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),</w:t>
            </w:r>
          </w:p>
          <w:p w14:paraId="193ACE98" w14:textId="4D459126" w:rsidR="008E381B" w:rsidRPr="00D07385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f)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E261C"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instytut</w:t>
            </w:r>
            <w:r w:rsidR="007E261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y</w:t>
            </w:r>
            <w:r w:rsidR="007E261C"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badawcz</w:t>
            </w:r>
            <w:r w:rsidR="007E261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e</w:t>
            </w:r>
            <w:r w:rsidR="007E261C"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(tj.: Centrum Onkologii – Instytut im. Marii Skłodowskiej-Curie w Warszawie, Narodowy Instytut Zdrowia Publicznego – Państwowy Zakład Higieny), </w:t>
            </w:r>
          </w:p>
          <w:p w14:paraId="00145D36" w14:textId="0EA4D299" w:rsidR="008E381B" w:rsidRPr="00D07385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g)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B65D4"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organizacj</w:t>
            </w:r>
            <w:r w:rsidR="002B65D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e</w:t>
            </w:r>
            <w:r w:rsidR="002B65D4"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pracodawców (tj.: Business Center Club, Związek Rzemiosła Polskiego,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Pracodawców Rzeczpospolitej Polskiej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F0E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Polska Konfederacja Pracodawców Prywatnych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„Lewiatan”, Związek Przedsiębiorców i Pracodawców),</w:t>
            </w:r>
          </w:p>
          <w:p w14:paraId="284898BE" w14:textId="1B73A5FB" w:rsidR="008E381B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h) </w:t>
            </w:r>
            <w:r w:rsidR="007E261C"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Rad</w:t>
            </w:r>
            <w:r w:rsidR="007E261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ę</w:t>
            </w:r>
            <w:r w:rsidR="007E261C"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Działalności Pożytku Publicznego i Rad</w:t>
            </w:r>
            <w:r w:rsidR="007E261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Dialogu Społecznego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04186661" w14:textId="77777777" w:rsidR="008E381B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i)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Prezesa Prokuratorii Generalnej Rzeczypospolitej Polskiej, Narodowego Funduszu Zdrowia, Agencji Oceny Technologii Medycznych i Taryfikacji, </w:t>
            </w:r>
            <w:r w:rsidRPr="00BB77D7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BB77D7">
              <w:rPr>
                <w:rFonts w:ascii="Times New Roman" w:eastAsia="Times New Roman" w:hAnsi="Times New Roman"/>
                <w:bCs/>
                <w:lang w:eastAsia="pl-PL"/>
              </w:rPr>
              <w:t xml:space="preserve"> Urzędu Rejestracji Produktów Leczniczych, Wyrobów Medycznych i Produktów Biobójczych</w:t>
            </w:r>
            <w:r w:rsidRPr="00D073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14:paraId="4643DF63" w14:textId="7F792A38" w:rsidR="0010032A" w:rsidRPr="0010032A" w:rsidRDefault="0010032A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Projekt </w:t>
            </w:r>
            <w:r w:rsidR="00616FDF"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zosta</w:t>
            </w:r>
            <w:r w:rsidR="00616F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ł</w:t>
            </w:r>
            <w:r w:rsidR="00616FDF"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przesłany do zaopiniowania Komisji Wspólnej Rządu i Samorządu Terytorialnego zgodnie z ustawą z dnia 6 maja 2005 r. o Komisji Wspólnej Rządu i Samorządu Terytorialnego oraz o przedstawicielach Rzeczypospolitej Polskiej w Komitecie Regionów Unii Europejskiej (Dz. U. poz. 759).</w:t>
            </w:r>
          </w:p>
          <w:p w14:paraId="34DDABB0" w14:textId="6655910A" w:rsidR="0010032A" w:rsidRPr="0010032A" w:rsidRDefault="0010032A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Projekt rozporządzenia zosta</w:t>
            </w:r>
            <w:r w:rsidR="00616F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ł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udostępniony w 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</w:t>
            </w:r>
            <w:r w:rsidR="00986FD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z </w:t>
            </w:r>
            <w:proofErr w:type="spellStart"/>
            <w:r w:rsidR="00986FD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późn</w:t>
            </w:r>
            <w:proofErr w:type="spellEnd"/>
            <w:r w:rsidR="00986FD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zm.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).</w:t>
            </w:r>
          </w:p>
          <w:p w14:paraId="371046CB" w14:textId="77777777" w:rsidR="007B1E52" w:rsidRPr="00442C01" w:rsidRDefault="0010032A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Wyniki konsultacji publicznych i opiniowania zostaną omówione w raporcie, który zostanie dołączony do niniejszej Oceny.</w:t>
            </w:r>
          </w:p>
        </w:tc>
      </w:tr>
      <w:tr w:rsidR="007B1E52" w:rsidRPr="00442C01" w14:paraId="17543ED3" w14:textId="77777777" w:rsidTr="00B17DC3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AAE65C" w14:textId="77777777" w:rsidR="007B1E52" w:rsidRPr="00442C01" w:rsidRDefault="007B1E52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B1E52" w:rsidRPr="00B17DC3" w14:paraId="247C3E9D" w14:textId="77777777" w:rsidTr="00B17DC3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15FAF19B" w14:textId="77777777" w:rsidR="007B1E52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(ceny stałe z 2017</w:t>
            </w:r>
            <w:r w:rsidR="007B1E52"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r.)</w:t>
            </w:r>
          </w:p>
        </w:tc>
        <w:tc>
          <w:tcPr>
            <w:tcW w:w="8498" w:type="dxa"/>
            <w:gridSpan w:val="26"/>
            <w:shd w:val="clear" w:color="auto" w:fill="FFFFFF"/>
            <w:vAlign w:val="center"/>
          </w:tcPr>
          <w:p w14:paraId="57138FB0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7B1E52" w:rsidRPr="00B17DC3" w14:paraId="14E04E0F" w14:textId="77777777" w:rsidTr="00B17DC3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4D7AC12F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9521218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C8D23BE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A12823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1A8D80B6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8F9039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B9CA6D6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3B92834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7147F8CD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120CD3A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26E148C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416F6AF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center"/>
          </w:tcPr>
          <w:p w14:paraId="2002576A" w14:textId="77777777" w:rsidR="007B1E52" w:rsidRPr="00B17DC3" w:rsidRDefault="007B1E52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B4201C" w:rsidRPr="00442C01" w14:paraId="671C61ED" w14:textId="77777777" w:rsidTr="00B17DC3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C1F5309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8C18C4F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4309F46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85AFB7A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56E2FE4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F301CFD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3D4E39C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92CBF5F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44B68856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9992994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CE08A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B9EFCCC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1D552941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201C" w:rsidRPr="00442C01" w14:paraId="70A0CB8E" w14:textId="77777777" w:rsidTr="00B17DC3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6E5AD98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4417AA8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F0B6217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2BEC4ED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2B959742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D88CAE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99B08D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D16D3AE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FC3BED5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437CDEB3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8785378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B26DF4A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0D50D24F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B4201C" w:rsidRPr="00442C01" w14:paraId="0AC37170" w14:textId="77777777" w:rsidTr="00B17DC3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3AE02E4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B1CBDB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0E66108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1254CE5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5F03B0A0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B9BD640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4770CDA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4B221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EA278E7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A04F262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D389D9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05C010D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14A14AE8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201C" w:rsidRPr="00442C01" w14:paraId="70E422A2" w14:textId="77777777" w:rsidTr="00B17DC3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6E39049" w14:textId="3EB34721" w:rsidR="00B4201C" w:rsidRPr="00B17DC3" w:rsidRDefault="006433B0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NFZ 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322F5A4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368C76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B77CAE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6C371C0A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93B9D27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F089BD7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84F4333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03D1C8EF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2161E4A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594CFD4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8F5D4C6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09F0AB31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69E1" w:rsidRPr="00442C01" w14:paraId="2074A79A" w14:textId="77777777" w:rsidTr="00B17DC3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B1184A7" w14:textId="77777777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A1AF8C5" w14:textId="304A4498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7C69262" w14:textId="36E0A65F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7EA73E6" w14:textId="409F0AFA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86CFE2B" w14:textId="0FF021B1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5F99A1" w14:textId="3867E3B4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6957F72" w14:textId="3A2D14EF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046F69B" w14:textId="1718F758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4D6F6902" w14:textId="28AD24BD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461C3D41" w14:textId="321A2317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466C40D" w14:textId="1A98E75B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57BED9B" w14:textId="7C761AC3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6E5726B4" w14:textId="0DC796BF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201C" w:rsidRPr="00442C01" w14:paraId="77E44B80" w14:textId="77777777" w:rsidTr="00B17DC3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4E7B1D" w14:textId="77777777" w:rsidR="00B4201C" w:rsidRPr="00B17DC3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D5DBE7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6621AFD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CB22F4F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2ACDA38C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E07EE07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14356EB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F6A16B8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73F63DCD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48ADC637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99FB08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7402D96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64219880" w14:textId="77777777" w:rsidR="00B4201C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4C75" w:rsidRPr="00442C01" w14:paraId="15DEC200" w14:textId="77777777" w:rsidTr="00B17DC3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316803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E6FEDF7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7090363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FD39A98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3DEAACF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04BAF20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28A3611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49030A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3B0680CF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3884784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2C3CEA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229AC0F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33BA8721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69E1" w:rsidRPr="00442C01" w14:paraId="5C5B1827" w14:textId="77777777" w:rsidTr="00B17DC3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1DC538A4" w14:textId="7EBC989F" w:rsidR="006F69E1" w:rsidRPr="00B17DC3" w:rsidRDefault="006433B0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NFZ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21ABFB9" w14:textId="55CC5A76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39F55F" w14:textId="61D226B7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5871D33" w14:textId="41FB5626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B77DF47" w14:textId="39CE3FCD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0BD9803" w14:textId="1A2DCE2F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47D7040" w14:textId="7493C898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1B4813D4" w14:textId="1EA47306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372D77EB" w14:textId="388A01F0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65E4C48" w14:textId="3F0789D0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AA16529" w14:textId="467D47E0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CB2AB2A" w14:textId="2D65101C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5D5D38DB" w14:textId="295B4ED3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69E1" w:rsidRPr="00442C01" w14:paraId="11E7042F" w14:textId="77777777" w:rsidTr="00B17DC3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DBA6DE8" w14:textId="77777777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1719AC" w14:textId="19854880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540C4C2" w14:textId="5C7B6524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C92830" w14:textId="3A2F7CBF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0176785" w14:textId="62E55442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CEB27FE" w14:textId="75F6E4EB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46A15F0" w14:textId="24FDD827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4D869C9" w14:textId="4E44B75D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D5F1670" w14:textId="23B67777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3ECBF65" w14:textId="0A453D9F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C777782" w14:textId="17462941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E308CC4" w14:textId="71C5919A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57953389" w14:textId="2D918BBF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4C75" w:rsidRPr="00442C01" w14:paraId="39C7F762" w14:textId="77777777" w:rsidTr="00B17DC3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6984AC0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78931E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BB0F144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E2491D9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BFC0AFF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F3EB853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431F9E8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C4D0422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41A477CD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D94B914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8D2AA7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BAA2236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68EF276A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4C75" w:rsidRPr="00442C01" w14:paraId="63F35F2A" w14:textId="77777777" w:rsidTr="00B17DC3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76A3754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0D96B5B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FF853BB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4B10653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064C6C62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CE690FE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4552C3F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8F7423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546710F2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101F088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2754902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87E7CA9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67813C4E" w14:textId="77777777" w:rsidR="00174C75" w:rsidRPr="00B17DC3" w:rsidRDefault="00174C75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69E1" w:rsidRPr="00442C01" w14:paraId="2033629E" w14:textId="77777777" w:rsidTr="00B17DC3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A96BE81" w14:textId="24381196" w:rsidR="006F69E1" w:rsidRPr="00B17DC3" w:rsidRDefault="006433B0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NFZ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4171216" w14:textId="1456E35D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41DAAD0" w14:textId="6518533D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12EB8B7" w14:textId="7C70F0E1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08712571" w14:textId="0E13729D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7B6152C" w14:textId="506D8F14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F5730DF" w14:textId="030E6015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EFAA676" w14:textId="6A2155C9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20D0F9B3" w14:textId="3AC7E212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C08132F" w14:textId="13AFFBCB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CD4ACAB" w14:textId="0AB185E5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5F0F79B" w14:textId="25991078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3857ED32" w14:textId="797D2396" w:rsidR="006F69E1" w:rsidRPr="00B17DC3" w:rsidRDefault="006F69E1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201C" w:rsidRPr="00442C01" w14:paraId="5CCC5089" w14:textId="77777777" w:rsidTr="00B17DC3">
        <w:trPr>
          <w:gridAfter w:val="1"/>
          <w:wAfter w:w="10" w:type="dxa"/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6E5B1DDD" w14:textId="77777777" w:rsidR="00B4201C" w:rsidRPr="00442C01" w:rsidRDefault="00B4201C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6BE085D2" w14:textId="77777777" w:rsidR="008E381B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 Będzie miała wpływ na plan finansowy NFZ.</w:t>
            </w:r>
          </w:p>
          <w:p w14:paraId="1F7AACA5" w14:textId="77777777" w:rsidR="008E381B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4EA5">
              <w:rPr>
                <w:rFonts w:ascii="Times New Roman" w:eastAsia="Calibri" w:hAnsi="Times New Roman" w:cs="Times New Roman"/>
                <w:color w:val="000000"/>
              </w:rPr>
              <w:t xml:space="preserve">Wygospodarowanie środków w ramach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planu finansowego NFZ </w:t>
            </w:r>
            <w:r w:rsidRPr="00C84EA5">
              <w:rPr>
                <w:rFonts w:ascii="Times New Roman" w:eastAsia="Calibri" w:hAnsi="Times New Roman" w:cs="Times New Roman"/>
                <w:color w:val="000000"/>
              </w:rPr>
              <w:t>nastąpi przez zmianę alokacji środków przeznaczonych na finansowanie świadczeń gwarantowanych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określonych w planie finansowym NFZ na 2019 r. i kolejne lata.</w:t>
            </w:r>
          </w:p>
          <w:p w14:paraId="5E0E11C3" w14:textId="403E0A63" w:rsidR="00C84EA5" w:rsidRPr="00442C01" w:rsidRDefault="008E381B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Należy także wskazać, iż wyodrębnione świadczenia gwarantowane w dominującej części będą realizowane w szpitalach zakwalifikowanych do systemu podstawowego zabezpieczenia szpitalnego.</w:t>
            </w:r>
          </w:p>
        </w:tc>
      </w:tr>
      <w:tr w:rsidR="00B4201C" w:rsidRPr="00442C01" w14:paraId="5EA9AA21" w14:textId="77777777" w:rsidTr="00B17DC3">
        <w:trPr>
          <w:gridAfter w:val="1"/>
          <w:wAfter w:w="10" w:type="dxa"/>
          <w:trHeight w:val="1271"/>
        </w:trPr>
        <w:tc>
          <w:tcPr>
            <w:tcW w:w="1589" w:type="dxa"/>
            <w:shd w:val="clear" w:color="auto" w:fill="FFFFFF"/>
          </w:tcPr>
          <w:p w14:paraId="253A8AC9" w14:textId="77777777" w:rsidR="00B4201C" w:rsidRPr="00442C01" w:rsidRDefault="00B4201C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348" w:type="dxa"/>
            <w:gridSpan w:val="28"/>
            <w:shd w:val="clear" w:color="auto" w:fill="FFFFFF"/>
          </w:tcPr>
          <w:p w14:paraId="6EA620C0" w14:textId="2DDC7538" w:rsidR="00E70E67" w:rsidRDefault="00E70E67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70E67">
              <w:rPr>
                <w:rFonts w:ascii="Times New Roman" w:eastAsia="Calibri" w:hAnsi="Times New Roman" w:cs="Times New Roman"/>
                <w:lang w:eastAsia="pl-PL"/>
              </w:rPr>
              <w:t xml:space="preserve">Wyniki szczegółowej analizy danych rozliczeniowych oraz zawartych umów z NFZ stanowiły </w:t>
            </w:r>
            <w:r w:rsidR="003920E3">
              <w:rPr>
                <w:rFonts w:ascii="Times New Roman" w:eastAsia="Calibri" w:hAnsi="Times New Roman" w:cs="Times New Roman"/>
                <w:lang w:eastAsia="pl-PL"/>
              </w:rPr>
              <w:t xml:space="preserve">podstawę oszacowania liczby świadczeniodawców, w podmiotach których byłyby umieszczone ośrodki diagnostyki i leczenia nowotworów piersi oraz w których byłoby realizowane </w:t>
            </w:r>
            <w:r w:rsidRPr="00E70E67">
              <w:rPr>
                <w:rFonts w:ascii="Times New Roman" w:eastAsia="Calibri" w:hAnsi="Times New Roman" w:cs="Times New Roman"/>
                <w:lang w:eastAsia="pl-PL"/>
              </w:rPr>
              <w:t>świadczeni</w:t>
            </w:r>
            <w:r w:rsidR="003920E3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E70E67">
              <w:rPr>
                <w:rFonts w:ascii="Times New Roman" w:eastAsia="Calibri" w:hAnsi="Times New Roman" w:cs="Times New Roman"/>
                <w:lang w:eastAsia="pl-PL"/>
              </w:rPr>
              <w:t xml:space="preserve"> kompleksowe</w:t>
            </w:r>
            <w:r w:rsidR="003920E3">
              <w:rPr>
                <w:rFonts w:ascii="Times New Roman" w:eastAsia="Calibri" w:hAnsi="Times New Roman" w:cs="Times New Roman"/>
                <w:lang w:eastAsia="pl-PL"/>
              </w:rPr>
              <w:t xml:space="preserve">j opieki. Analizy wskazują, że w podmiotach około 60 świadczeniodawców zostanie zorganizowany ośrodek diagnostyki i leczenia nowotworów piersi I </w:t>
            </w:r>
            <w:proofErr w:type="spellStart"/>
            <w:r w:rsidR="003920E3">
              <w:rPr>
                <w:rFonts w:ascii="Times New Roman" w:eastAsia="Calibri" w:hAnsi="Times New Roman" w:cs="Times New Roman"/>
                <w:lang w:eastAsia="pl-PL"/>
              </w:rPr>
              <w:t>i</w:t>
            </w:r>
            <w:proofErr w:type="spellEnd"/>
            <w:r w:rsidR="003920E3">
              <w:rPr>
                <w:rFonts w:ascii="Times New Roman" w:eastAsia="Calibri" w:hAnsi="Times New Roman" w:cs="Times New Roman"/>
                <w:lang w:eastAsia="pl-PL"/>
              </w:rPr>
              <w:t xml:space="preserve"> II poziomu referencyjnego.</w:t>
            </w:r>
          </w:p>
          <w:p w14:paraId="411A4A35" w14:textId="374AECC6" w:rsidR="00E70E67" w:rsidRDefault="00E70E67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Należy jednak oczekiwać, że wraz ze wzrostem jakości opieki, w tym diagnostyki i profilaktyki, </w:t>
            </w:r>
            <w:r w:rsidR="003920E3">
              <w:rPr>
                <w:rFonts w:ascii="Times New Roman" w:eastAsia="Calibri" w:hAnsi="Times New Roman" w:cs="Times New Roman"/>
                <w:lang w:eastAsia="pl-PL"/>
              </w:rPr>
              <w:t>zmieni się struktura i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liczba </w:t>
            </w:r>
            <w:proofErr w:type="spellStart"/>
            <w:r>
              <w:rPr>
                <w:rFonts w:ascii="Times New Roman" w:eastAsia="Calibri" w:hAnsi="Times New Roman" w:cs="Times New Roman"/>
                <w:lang w:eastAsia="pl-PL"/>
              </w:rPr>
              <w:t>zachorowań</w:t>
            </w:r>
            <w:proofErr w:type="spellEnd"/>
            <w:r>
              <w:rPr>
                <w:rFonts w:ascii="Times New Roman" w:eastAsia="Calibri" w:hAnsi="Times New Roman" w:cs="Times New Roman"/>
                <w:lang w:eastAsia="pl-PL"/>
              </w:rPr>
              <w:t xml:space="preserve"> (oczekiwany spadek liczby </w:t>
            </w:r>
            <w:proofErr w:type="spellStart"/>
            <w:r>
              <w:rPr>
                <w:rFonts w:ascii="Times New Roman" w:eastAsia="Calibri" w:hAnsi="Times New Roman" w:cs="Times New Roman"/>
                <w:lang w:eastAsia="pl-PL"/>
              </w:rPr>
              <w:t>zachorowań</w:t>
            </w:r>
            <w:proofErr w:type="spellEnd"/>
            <w:r w:rsidR="003920E3">
              <w:rPr>
                <w:rFonts w:ascii="Times New Roman" w:eastAsia="Calibri" w:hAnsi="Times New Roman" w:cs="Times New Roman"/>
                <w:lang w:eastAsia="pl-PL"/>
              </w:rPr>
              <w:t xml:space="preserve"> ogólnie, zwiększenie wykrywalności nowotworów we wczesnych stadiach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) oraz jakość i organizacja opieki, wskutek której dojdzie do koncentracji opieki w najlepszych ośrodkach. </w:t>
            </w:r>
          </w:p>
          <w:p w14:paraId="7D98816A" w14:textId="16CE1D5B" w:rsidR="00E70E67" w:rsidRPr="004C257A" w:rsidRDefault="00E70E67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W konsekwencji powyższych zjawisk liczba ośrodków realizujących opiekę w kolejnych latach </w:t>
            </w:r>
            <w:r w:rsidR="003920E3">
              <w:rPr>
                <w:rFonts w:ascii="Times New Roman" w:eastAsia="Calibri" w:hAnsi="Times New Roman" w:cs="Times New Roman"/>
                <w:lang w:eastAsia="pl-PL"/>
              </w:rPr>
              <w:t>może się zmienia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ć do momentu ustalenia optymalnej liczby ośrodków, przy której jest </w:t>
            </w:r>
            <w:r w:rsidR="003920E3">
              <w:rPr>
                <w:rFonts w:ascii="Times New Roman" w:eastAsia="Calibri" w:hAnsi="Times New Roman" w:cs="Times New Roman"/>
                <w:lang w:eastAsia="pl-PL"/>
              </w:rPr>
              <w:t xml:space="preserve">zapewniona adekwatna dostępność oraz wysoka 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jakość opieki nad </w:t>
            </w:r>
            <w:r w:rsidR="003920E3">
              <w:rPr>
                <w:rFonts w:ascii="Times New Roman" w:eastAsia="Calibri" w:hAnsi="Times New Roman" w:cs="Times New Roman"/>
                <w:lang w:eastAsia="pl-PL"/>
              </w:rPr>
              <w:t>świadczeniobiorcą z nowotworem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piersi.</w:t>
            </w:r>
          </w:p>
        </w:tc>
      </w:tr>
      <w:tr w:rsidR="00B4201C" w:rsidRPr="00442C01" w14:paraId="033B3023" w14:textId="77777777" w:rsidTr="00B17DC3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DF0A01C" w14:textId="0545B3D8" w:rsidR="00B4201C" w:rsidRPr="00442C01" w:rsidRDefault="00B4201C" w:rsidP="008E38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4201C" w:rsidRPr="00442C01" w14:paraId="25261238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0B259A7" w14:textId="77777777" w:rsidR="00B4201C" w:rsidRPr="00442C01" w:rsidRDefault="00B4201C" w:rsidP="008E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B4201C" w:rsidRPr="00442C01" w14:paraId="0DEA6F10" w14:textId="77777777" w:rsidTr="00B17DC3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4095C1D0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C392FBD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48E94412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7E53B49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702023B4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C069579" w14:textId="77777777" w:rsidR="00B4201C" w:rsidRPr="00442C01" w:rsidRDefault="00B4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43A0F7C8" w14:textId="77777777" w:rsidR="00B4201C" w:rsidRPr="00442C01" w:rsidRDefault="00B4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114E8FAC" w14:textId="77777777" w:rsidR="00B4201C" w:rsidRPr="00442C01" w:rsidRDefault="00B4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</w:t>
            </w:r>
            <w:r w:rsidRPr="00442C01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B4201C" w:rsidRPr="00442C01" w14:paraId="5728D1B2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75B3676A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7E934CF5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73FC5228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spacing w:val="-2"/>
              </w:rPr>
              <w:t xml:space="preserve">ceny stałe z …… </w:t>
            </w:r>
            <w:r w:rsidRPr="00442C01">
              <w:rPr>
                <w:rFonts w:ascii="Times New Roman" w:eastAsia="Calibri" w:hAnsi="Times New Roman" w:cs="Times New Roman"/>
                <w:spacing w:val="-2"/>
              </w:rPr>
              <w:lastRenderedPageBreak/>
              <w:t>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1E8ABD0" w14:textId="77777777" w:rsidR="00B4201C" w:rsidRPr="00442C01" w:rsidRDefault="00B4201C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61417F7" w14:textId="77777777" w:rsidR="00B4201C" w:rsidRPr="00442C01" w:rsidRDefault="005A3B1E" w:rsidP="005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BE82A90" w14:textId="77777777" w:rsidR="00B4201C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4B582E5" w14:textId="77777777" w:rsidR="00B4201C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26B67F4" w14:textId="77777777" w:rsidR="00B4201C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D7FD08A" w14:textId="77777777" w:rsidR="00B4201C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7B6FE9E3" w14:textId="77777777" w:rsidR="00B4201C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0F6CACAB" w14:textId="77777777" w:rsidR="00B4201C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5A3B1E" w:rsidRPr="00442C01" w14:paraId="44E467C3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54016EA2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55FE15F1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F9C9745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563E7F2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4C5D307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143DA284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B9055CE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388DFD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13ABE7B3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5A3B1E" w:rsidRPr="00442C01" w14:paraId="299818F3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96D845A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97B225F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</w:rPr>
              <w:t xml:space="preserve">rodzina, obywatele oraz </w:t>
            </w:r>
            <w:r w:rsidRPr="00442C01">
              <w:rPr>
                <w:rFonts w:ascii="Times New Roman" w:eastAsia="Calibri" w:hAnsi="Times New Roman" w:cs="Times New Roman"/>
              </w:rPr>
              <w:lastRenderedPageBreak/>
              <w:t>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3E280C3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372820B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AF3CB99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45D659C4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B3E7BFC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7274CD6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79BB82DC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5A3B1E" w:rsidRPr="00442C01" w14:paraId="3DBC0BBE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4B01F2D3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24CD6C9C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(dodaj/usuń)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7CC5BFC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5F1BF0A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63AE36F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C33FC75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168D3E4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D95C54C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45BEA490" w14:textId="77777777" w:rsidR="005A3B1E" w:rsidRPr="00442C01" w:rsidRDefault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920E3" w:rsidRPr="00442C01" w14:paraId="7C7E50A3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21B5349" w14:textId="77777777" w:rsidR="003920E3" w:rsidRPr="00442C01" w:rsidRDefault="003920E3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56FA81" w14:textId="77777777" w:rsidR="003920E3" w:rsidRPr="00442C01" w:rsidRDefault="003920E3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CD4D864" w14:textId="3A0E88D4" w:rsidR="003920E3" w:rsidRPr="00DF7E2C" w:rsidRDefault="003920E3" w:rsidP="005C5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Przedmiotowa zmiana wpły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pozytywnie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działalność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podmiotów realizujących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diagnostyki, leczenia lub rehabilitacji świadczeniobiorcy z nowotworem piersi</w:t>
            </w:r>
            <w:r w:rsidR="004E180C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względem podmiotów </w:t>
            </w:r>
            <w:r w:rsidR="004E180C">
              <w:rPr>
                <w:rFonts w:ascii="Times New Roman" w:hAnsi="Times New Roman"/>
                <w:color w:val="000000"/>
                <w:spacing w:val="-2"/>
                <w:szCs w:val="21"/>
              </w:rPr>
              <w:t>realizujących ww.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świadczenia w sektorze poza finansowaniem świadczeń ze środków publicznych.</w:t>
            </w:r>
            <w:r w:rsidR="004E180C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Przedmiotowa zmiana wyznacza standard i jakość opieki, </w:t>
            </w:r>
            <w:r w:rsidR="00315BD2">
              <w:rPr>
                <w:rFonts w:ascii="Times New Roman" w:hAnsi="Times New Roman"/>
                <w:color w:val="000000"/>
                <w:spacing w:val="-2"/>
                <w:szCs w:val="21"/>
              </w:rPr>
              <w:t>do którego zobowiązani będą świadczeniodawcy realizujący świadczenie kompleksowej opieki nad świadczeniobiorcą z nowotworem piersi.</w:t>
            </w:r>
          </w:p>
        </w:tc>
      </w:tr>
      <w:tr w:rsidR="003920E3" w:rsidRPr="00442C01" w14:paraId="40C799DF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4E87507" w14:textId="61E3DC35" w:rsidR="003920E3" w:rsidRPr="00442C01" w:rsidRDefault="003920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DE521A" w14:textId="77777777" w:rsidR="003920E3" w:rsidRPr="00442C01" w:rsidRDefault="003920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169F127" w14:textId="326C443B" w:rsidR="003920E3" w:rsidRDefault="003920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wprowadza możliwość nawiązania współpracy przez mikro-, małe i średnie przedsiębiorstwa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realizując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diagnostyki, leczenia lub rehabilitacji świadczeniobiorcy z nowotworem piersi</w:t>
            </w:r>
            <w:r w:rsidR="00315BD2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ze z innymi świadczeniodawcami w celu zapewnienia kompleksowości opieki.</w:t>
            </w:r>
          </w:p>
          <w:p w14:paraId="50009100" w14:textId="4A2387C4" w:rsidR="003920E3" w:rsidRPr="00315BD2" w:rsidRDefault="00315B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Przedmiotowa zmiana wyznacza standard i jakość opieki, do którego zobowiązani będą świadczeniodawcy realizujący lub współrealizujący świadczenie kompleksowej opieki nad świadczeniobiorcą z nowotworem piersi.</w:t>
            </w:r>
          </w:p>
        </w:tc>
      </w:tr>
      <w:tr w:rsidR="003920E3" w:rsidRPr="00442C01" w14:paraId="4C6F94F3" w14:textId="77777777" w:rsidTr="00B17DC3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4466D6EE" w14:textId="68662347" w:rsidR="003920E3" w:rsidRPr="00442C01" w:rsidRDefault="003920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5036E9" w14:textId="77777777" w:rsidR="003920E3" w:rsidRPr="00442C01" w:rsidRDefault="003920E3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72DF336" w14:textId="73E87133" w:rsidR="00315BD2" w:rsidRDefault="00315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Przedmiotowa regulacja bardzo szczegółowo określa okoliczności w jakich obywatel nabywa uprawnienie do skorzystania ze świadczenia kompleksowej opieki nad świadczeniobiorcą z </w:t>
            </w:r>
            <w:r w:rsidR="00326AA8">
              <w:rPr>
                <w:rFonts w:ascii="Times New Roman" w:eastAsia="Calibri" w:hAnsi="Times New Roman" w:cs="Times New Roman"/>
                <w:color w:val="000000"/>
                <w:spacing w:val="-2"/>
              </w:rPr>
              <w:t>nowotworem piersi. Ponadto określa szczegółowo standard i zakres udzielanych świadczeń.</w:t>
            </w:r>
          </w:p>
          <w:p w14:paraId="374B9E2D" w14:textId="79FDA5E2" w:rsidR="00326AA8" w:rsidRDefault="00326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Istotnym elementem opisanych świadczeń jest gwarancja ciągłości realizacji świadczeń w poszczególnych modułach, a jednocześnie zobowiązanie świadczeniodawców do wykonania tej opieki w określony sposób – opisany dla świadczeniobiorcy i wymagany względem świadczeniodawcy.</w:t>
            </w:r>
          </w:p>
          <w:p w14:paraId="7857694D" w14:textId="789721E3" w:rsidR="003920E3" w:rsidRPr="00442C01" w:rsidRDefault="00392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21FA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Oceniając wpływ dokonywanych zmian na rodzinę, obywateli oraz gospodarstwa domowe, w zakresie dostępności do świadczeń gwarantowanych </w:t>
            </w:r>
            <w:r w:rsidR="00326AA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 ich jakości </w:t>
            </w:r>
            <w:r w:rsidRPr="00F21FA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należy mieć na względzie, że </w:t>
            </w:r>
            <w:r w:rsidR="00326AA8">
              <w:rPr>
                <w:rFonts w:ascii="Times New Roman" w:eastAsia="Calibri" w:hAnsi="Times New Roman" w:cs="Times New Roman"/>
                <w:color w:val="000000"/>
                <w:spacing w:val="-2"/>
              </w:rPr>
              <w:t>oczekiwanym zjawiskiem jest zastępowanie realizacji nieskoordynowanych świadczeń o niskiej jakości świadczeniami wysokiej jakości skoordynowanymi i realizowanymi w ciągłości. Dostarczenie obywatelom szczegółowej informacji o świadczeniach, nałożenie na świadczeniodawców obowiązku zapewnienia ciągłości opieki oraz określonej jakości tej opieki ma na celu zapewnienie komfortu i poprawy jakości życia w przypadku wystąpienia nowotworu piersi, ale też zwiększenie szans na uzyskanie jak najlepszego efektu zdrowotnego wskutek zastosowanego leczenia oraz zagwarantowanej opieki kompleksowej.</w:t>
            </w:r>
          </w:p>
        </w:tc>
      </w:tr>
      <w:tr w:rsidR="003920E3" w:rsidRPr="00442C01" w14:paraId="37FE6FA0" w14:textId="77777777" w:rsidTr="00B17DC3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1A5D00B" w14:textId="39D3BD70" w:rsidR="003920E3" w:rsidRPr="00442C01" w:rsidRDefault="003920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12AE9B2" w14:textId="77777777" w:rsidR="003920E3" w:rsidRPr="00442C01" w:rsidRDefault="003920E3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8" w:type="dxa"/>
            <w:gridSpan w:val="21"/>
            <w:shd w:val="clear" w:color="auto" w:fill="FFFFFF"/>
          </w:tcPr>
          <w:p w14:paraId="1654383E" w14:textId="55CA1AEA" w:rsidR="003920E3" w:rsidRPr="00F911B1" w:rsidRDefault="00392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920E3">
              <w:rPr>
                <w:rFonts w:ascii="Times New Roman" w:hAnsi="Times New Roman"/>
                <w:color w:val="000000"/>
                <w:spacing w:val="-2"/>
                <w:szCs w:val="21"/>
              </w:rPr>
              <w:t>Przedmiotowa regulacja będzie zapewniać osobom niepełnosprawnym i osobom starszym, na zasadach identycznych jak</w:t>
            </w:r>
            <w:r w:rsidR="00326AA8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dla innych obywateli dostęp do 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świadczenia kompleksowego oraz do opieki w o</w:t>
            </w:r>
            <w:r w:rsidR="00326AA8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środkach diagnostyki i leczenia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nowotworów piersi. Podstawą do udzielenia świadczenia oraz zapewnienia opieki jest rozpoznanie lub podejrzenie nowotworu piersi.</w:t>
            </w:r>
          </w:p>
        </w:tc>
      </w:tr>
      <w:tr w:rsidR="00B4201C" w:rsidRPr="00442C01" w14:paraId="1E834A7E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6FB2105B" w14:textId="77777777" w:rsidR="00B4201C" w:rsidRPr="00442C01" w:rsidRDefault="00B4201C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2A6A59" w14:textId="77777777" w:rsidR="00B4201C" w:rsidRPr="00442C01" w:rsidRDefault="00B4201C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(dodaj/usuń)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7F3E9266" w14:textId="77777777" w:rsidR="00B4201C" w:rsidRPr="00442C01" w:rsidRDefault="00FD7FBA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</w:p>
        </w:tc>
      </w:tr>
      <w:tr w:rsidR="00B4201C" w:rsidRPr="00442C01" w14:paraId="186107D1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2DCD8BEE" w14:textId="77777777" w:rsidR="00B4201C" w:rsidRPr="00442C01" w:rsidRDefault="00B4201C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17E003A" w14:textId="77777777" w:rsidR="00B4201C" w:rsidRPr="00442C01" w:rsidRDefault="00B4201C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(dodaj/usuń)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19DB97F3" w14:textId="77777777" w:rsidR="00B4201C" w:rsidRPr="00442C01" w:rsidRDefault="00FD7FBA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</w:p>
        </w:tc>
      </w:tr>
      <w:tr w:rsidR="00B4201C" w:rsidRPr="00442C01" w14:paraId="3C66D820" w14:textId="77777777" w:rsidTr="00B17DC3">
        <w:trPr>
          <w:gridAfter w:val="1"/>
          <w:wAfter w:w="10" w:type="dxa"/>
          <w:trHeight w:val="1364"/>
        </w:trPr>
        <w:tc>
          <w:tcPr>
            <w:tcW w:w="1589" w:type="dxa"/>
            <w:shd w:val="clear" w:color="auto" w:fill="FFFFFF"/>
          </w:tcPr>
          <w:p w14:paraId="5D759BCA" w14:textId="77777777" w:rsidR="00B4201C" w:rsidRPr="00442C01" w:rsidRDefault="00B4201C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03E67D70" w14:textId="77777777" w:rsidR="00B4201C" w:rsidRPr="00442C01" w:rsidRDefault="00FD7FBA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4201C" w:rsidRPr="00442C01" w14:paraId="124883E1" w14:textId="77777777" w:rsidTr="00B17DC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7E246F" w14:textId="77777777" w:rsidR="00B4201C" w:rsidRPr="00442C01" w:rsidRDefault="00B4201C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4201C" w:rsidRPr="00442C01" w14:paraId="7F76E9C7" w14:textId="77777777" w:rsidTr="00B17DC3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2F80225" w14:textId="77777777" w:rsidR="00B4201C" w:rsidRPr="00442C01" w:rsidRDefault="00B4201C" w:rsidP="008E3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X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B4201C" w:rsidRPr="00442C01" w14:paraId="6F26ADE9" w14:textId="77777777" w:rsidTr="00B17DC3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0FF37B2C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AC9058E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5CE6BF66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1B498958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X  nie dotyczy</w:t>
            </w:r>
          </w:p>
        </w:tc>
      </w:tr>
      <w:tr w:rsidR="00B4201C" w:rsidRPr="00442C01" w14:paraId="71F1C5C7" w14:textId="77777777" w:rsidTr="00B17DC3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39EAC5A5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7EAD2A79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54435480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60D85BF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3FD0C2A9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46C891CE" w14:textId="77777777" w:rsidR="00B4201C" w:rsidRPr="00442C01" w:rsidRDefault="00B42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178E5F75" w14:textId="77777777" w:rsidR="00B4201C" w:rsidRPr="00442C01" w:rsidRDefault="00B42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BF0DA41" w14:textId="77777777" w:rsidR="00B4201C" w:rsidRPr="00442C01" w:rsidRDefault="00B42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</w:tr>
      <w:tr w:rsidR="00B4201C" w:rsidRPr="00442C01" w14:paraId="72B6272E" w14:textId="77777777" w:rsidTr="00B17DC3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633D5F26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44781862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E4C50CD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60C4A336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B4201C" w:rsidRPr="00442C01" w14:paraId="0856A9AD" w14:textId="77777777" w:rsidTr="00B17DC3">
        <w:trPr>
          <w:gridAfter w:val="1"/>
          <w:wAfter w:w="10" w:type="dxa"/>
          <w:trHeight w:val="320"/>
        </w:trPr>
        <w:tc>
          <w:tcPr>
            <w:tcW w:w="10937" w:type="dxa"/>
            <w:gridSpan w:val="29"/>
            <w:shd w:val="clear" w:color="auto" w:fill="FFFFFF"/>
          </w:tcPr>
          <w:p w14:paraId="510A0460" w14:textId="77777777" w:rsidR="00B4201C" w:rsidRPr="00442C01" w:rsidRDefault="00B4201C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Komentarz: Brak.</w:t>
            </w:r>
          </w:p>
        </w:tc>
      </w:tr>
      <w:tr w:rsidR="00B4201C" w:rsidRPr="00442C01" w14:paraId="500A85D6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B7FA4E" w14:textId="77777777" w:rsidR="00B4201C" w:rsidRPr="00442C01" w:rsidRDefault="00B4201C" w:rsidP="008E38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B4201C" w:rsidRPr="00442C01" w14:paraId="7B880048" w14:textId="77777777" w:rsidTr="00B17DC3">
        <w:trPr>
          <w:gridAfter w:val="1"/>
          <w:wAfter w:w="10" w:type="dxa"/>
          <w:trHeight w:val="490"/>
        </w:trPr>
        <w:tc>
          <w:tcPr>
            <w:tcW w:w="10937" w:type="dxa"/>
            <w:gridSpan w:val="29"/>
            <w:shd w:val="clear" w:color="auto" w:fill="auto"/>
          </w:tcPr>
          <w:p w14:paraId="3EBD3431" w14:textId="3475CD3B" w:rsidR="00B4201C" w:rsidRPr="00442C01" w:rsidRDefault="00FD7FBA" w:rsidP="008E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Brak wpływu na rynek pracy. Personel medyczny realizujący świadczenia nabywa kompetencje w zakresie stosowania metod di</w:t>
            </w:r>
            <w:r w:rsidR="003920E3">
              <w:rPr>
                <w:rFonts w:ascii="Times New Roman" w:eastAsia="Calibri" w:hAnsi="Times New Roman" w:cs="Times New Roman"/>
              </w:rPr>
              <w:t>agnostycznych i terapeutycznych w określonym standardzie zapewniającym jakość i efektywność opieki.</w:t>
            </w:r>
          </w:p>
        </w:tc>
      </w:tr>
      <w:tr w:rsidR="00B4201C" w:rsidRPr="00442C01" w14:paraId="609FBBE0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7FCB1C" w14:textId="77777777" w:rsidR="00B4201C" w:rsidRPr="00442C01" w:rsidRDefault="00B4201C" w:rsidP="008E38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B4201C" w:rsidRPr="00442C01" w14:paraId="0C908977" w14:textId="77777777" w:rsidTr="00B17DC3">
        <w:trPr>
          <w:gridAfter w:val="1"/>
          <w:wAfter w:w="10" w:type="dxa"/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6AF75DE2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2ED99B51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6D2841C6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3C70307B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3700B9B9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1E1BC49" w14:textId="77777777" w:rsidR="00B4201C" w:rsidRPr="00442C01" w:rsidRDefault="00B42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</w:r>
            <w:r w:rsidR="007E3BA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3C00FA56" w14:textId="77777777" w:rsidR="00B4201C" w:rsidRPr="00442C01" w:rsidRDefault="00B42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X 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B4201C" w:rsidRPr="00442C01" w14:paraId="77BBEFCD" w14:textId="77777777" w:rsidTr="00B17DC3">
        <w:trPr>
          <w:gridAfter w:val="1"/>
          <w:wAfter w:w="10" w:type="dxa"/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1FF65401" w14:textId="77777777" w:rsidR="00B4201C" w:rsidRPr="00442C01" w:rsidRDefault="00B4201C" w:rsidP="005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48015F90" w14:textId="7C48EEE4" w:rsidR="00B4201C" w:rsidRPr="00442C01" w:rsidRDefault="00B4201C" w:rsidP="005C58D9">
            <w:pPr>
              <w:spacing w:after="0" w:line="240" w:lineRule="auto"/>
              <w:ind w:right="27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B4201C" w:rsidRPr="00442C01" w14:paraId="07943D77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EB792A" w14:textId="77777777" w:rsidR="00B4201C" w:rsidRPr="00442C01" w:rsidRDefault="00B4201C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B4201C" w:rsidRPr="00442C01" w14:paraId="67DE9BC4" w14:textId="77777777" w:rsidTr="00B17DC3">
        <w:trPr>
          <w:gridAfter w:val="1"/>
          <w:wAfter w:w="10" w:type="dxa"/>
          <w:trHeight w:val="588"/>
        </w:trPr>
        <w:tc>
          <w:tcPr>
            <w:tcW w:w="10937" w:type="dxa"/>
            <w:gridSpan w:val="29"/>
            <w:shd w:val="clear" w:color="auto" w:fill="FFFFFF"/>
          </w:tcPr>
          <w:p w14:paraId="5D06C5C9" w14:textId="5852B576" w:rsidR="00B4201C" w:rsidRPr="00442C01" w:rsidRDefault="00EA5058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C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Przewidziany w projekcie termin wejścia w życie rozporządzenia to dzień 1 </w:t>
            </w:r>
            <w:r w:rsidR="000E29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października</w:t>
            </w:r>
            <w:r w:rsidR="00174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2C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0E29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442C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</w:tr>
      <w:tr w:rsidR="00B4201C" w:rsidRPr="00442C01" w14:paraId="4A37127A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0A8FAF" w14:textId="77777777" w:rsidR="00B4201C" w:rsidRPr="00442C01" w:rsidRDefault="00B4201C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4201C" w:rsidRPr="00442C01" w14:paraId="429E0FAD" w14:textId="77777777" w:rsidTr="00B17DC3">
        <w:trPr>
          <w:gridAfter w:val="1"/>
          <w:wAfter w:w="10" w:type="dxa"/>
          <w:trHeight w:val="846"/>
        </w:trPr>
        <w:tc>
          <w:tcPr>
            <w:tcW w:w="10937" w:type="dxa"/>
            <w:gridSpan w:val="29"/>
            <w:shd w:val="clear" w:color="auto" w:fill="FFFFFF"/>
          </w:tcPr>
          <w:p w14:paraId="3DCCAD5C" w14:textId="685FA08D" w:rsidR="00DC08D1" w:rsidRDefault="00DC08D1" w:rsidP="008E3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Dokonanie ewaluacji </w:t>
            </w:r>
            <w:r>
              <w:rPr>
                <w:rFonts w:ascii="Times New Roman" w:hAnsi="Times New Roman"/>
                <w:color w:val="000000"/>
                <w:spacing w:val="-2"/>
              </w:rPr>
              <w:t>świadczenia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61053">
              <w:rPr>
                <w:rFonts w:ascii="Times New Roman" w:hAnsi="Times New Roman"/>
                <w:color w:val="000000"/>
                <w:spacing w:val="-2"/>
              </w:rPr>
              <w:t xml:space="preserve">będzie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możliwe </w:t>
            </w:r>
            <w:r w:rsidR="000E29A2">
              <w:rPr>
                <w:rFonts w:ascii="Times New Roman" w:hAnsi="Times New Roman"/>
                <w:color w:val="000000"/>
                <w:spacing w:val="-2"/>
              </w:rPr>
              <w:t>najwcześniej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 2-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3 lata, kiedy </w:t>
            </w:r>
            <w:r w:rsidR="00961053">
              <w:rPr>
                <w:rFonts w:ascii="Times New Roman" w:hAnsi="Times New Roman"/>
                <w:color w:val="000000"/>
                <w:spacing w:val="-2"/>
              </w:rPr>
              <w:t xml:space="preserve">będzie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możliwe zbadanie korzyści wynikających z </w:t>
            </w:r>
            <w:r w:rsidR="003000F9">
              <w:rPr>
                <w:rFonts w:ascii="Times New Roman" w:hAnsi="Times New Roman"/>
                <w:color w:val="000000"/>
                <w:spacing w:val="-2"/>
              </w:rPr>
              <w:t xml:space="preserve">wyodrębnienia przedmiotowych świadczeń i określenia standardu opieki.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Ewaluacja zostanie przeprowadzona w oparciu o dane sprawozdawczo-rozliczeniowe NFZ za okres 2-3 lat po wprowadzeniu przedmiotowych zmian w porównaniu do realizacji świadczeń w populacji </w:t>
            </w:r>
            <w:r w:rsidR="003000F9">
              <w:rPr>
                <w:rFonts w:ascii="Times New Roman" w:hAnsi="Times New Roman"/>
                <w:color w:val="000000"/>
                <w:spacing w:val="-2"/>
              </w:rPr>
              <w:t xml:space="preserve">osób z rakiem piersi </w:t>
            </w:r>
            <w:r>
              <w:rPr>
                <w:rFonts w:ascii="Times New Roman" w:hAnsi="Times New Roman"/>
                <w:color w:val="000000"/>
                <w:spacing w:val="-2"/>
              </w:rPr>
              <w:t>w okresie 2-3 lat przed wprowadzeniem zmian.</w:t>
            </w:r>
          </w:p>
          <w:p w14:paraId="7023707F" w14:textId="77777777" w:rsidR="00DC08D1" w:rsidRDefault="00DC08D1" w:rsidP="008E3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Zaproponowano mierniki adekwatne do efektów </w:t>
            </w:r>
            <w:r w:rsidR="004C2B84">
              <w:rPr>
                <w:rFonts w:ascii="Times New Roman" w:hAnsi="Times New Roman"/>
                <w:color w:val="000000"/>
                <w:spacing w:val="-2"/>
              </w:rPr>
              <w:t xml:space="preserve">zdefiniowanych w pkt 2 OSR, tj. </w:t>
            </w:r>
          </w:p>
          <w:p w14:paraId="5DE17B53" w14:textId="359B1259" w:rsidR="000E29A2" w:rsidRPr="00324B38" w:rsidRDefault="000E29A2" w:rsidP="00324B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24B38">
              <w:rPr>
                <w:rFonts w:ascii="Times New Roman" w:hAnsi="Times New Roman"/>
                <w:color w:val="000000"/>
                <w:spacing w:val="-2"/>
              </w:rPr>
              <w:t>przeżycie całkowite świadczeniobiorców objętych opieką kompleksową w stosunku do świadczeniobiorców nie objętych opieką kompleksową</w:t>
            </w:r>
            <w:r w:rsidR="006433B0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FCB5D31" w14:textId="191BC26A" w:rsidR="000E29A2" w:rsidRPr="00324B38" w:rsidRDefault="000E29A2" w:rsidP="00324B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24B38">
              <w:rPr>
                <w:rFonts w:ascii="Times New Roman" w:hAnsi="Times New Roman"/>
                <w:color w:val="000000"/>
                <w:spacing w:val="-2"/>
              </w:rPr>
              <w:t>czas realizacji świadczeń udzielanych świadczeniobiorcom nie objętym opieką kompleksową w stosunku do czasu realizacji świadczeń udzielanych świadczeniobiorcom nie objętym opieką kompleksową</w:t>
            </w:r>
            <w:r w:rsidR="00986FD4" w:rsidRPr="00324B3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F9B4475" w14:textId="58FE2D6E" w:rsidR="00177EE4" w:rsidRPr="00CD27AF" w:rsidRDefault="00177EE4" w:rsidP="0064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Ewaluacji zostaną również poddane wydatki </w:t>
            </w:r>
            <w:r w:rsidR="006433B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NFZ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 realizację </w:t>
            </w:r>
            <w:r w:rsidR="000E29A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świadczenia kompleksowej opieki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względem </w:t>
            </w:r>
            <w:r w:rsidR="000E29A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świadczeń udzielanych </w:t>
            </w:r>
            <w:r w:rsidR="000E29A2">
              <w:rPr>
                <w:rFonts w:ascii="Times New Roman" w:hAnsi="Times New Roman"/>
                <w:color w:val="000000"/>
                <w:spacing w:val="-2"/>
              </w:rPr>
              <w:t>świadczeniobiorcom z nowotworem piersi nie objętym opieką kompleksową</w:t>
            </w:r>
            <w:r w:rsidR="000E29A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a związanych z diagnostyką, leczeniem i rehabilitacją w związku z choroba nowotworową piersi. </w:t>
            </w:r>
          </w:p>
        </w:tc>
      </w:tr>
      <w:tr w:rsidR="00B4201C" w:rsidRPr="00442C01" w14:paraId="67A03FB2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4CC2B27" w14:textId="77777777" w:rsidR="00B4201C" w:rsidRPr="00442C01" w:rsidRDefault="00B4201C" w:rsidP="008E381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201C" w:rsidRPr="00442C01" w14:paraId="21094485" w14:textId="77777777" w:rsidTr="00B17DC3">
        <w:trPr>
          <w:gridAfter w:val="1"/>
          <w:wAfter w:w="10" w:type="dxa"/>
          <w:trHeight w:val="209"/>
        </w:trPr>
        <w:tc>
          <w:tcPr>
            <w:tcW w:w="10937" w:type="dxa"/>
            <w:gridSpan w:val="29"/>
            <w:shd w:val="clear" w:color="auto" w:fill="FFFFFF"/>
          </w:tcPr>
          <w:p w14:paraId="2E0F6E5A" w14:textId="580CE6DB" w:rsidR="00174C75" w:rsidRPr="008E381B" w:rsidRDefault="005C58D9" w:rsidP="008E38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dotyczy.</w:t>
            </w:r>
          </w:p>
        </w:tc>
      </w:tr>
    </w:tbl>
    <w:p w14:paraId="7B966347" w14:textId="77777777" w:rsidR="00E23702" w:rsidRPr="00442C01" w:rsidRDefault="00E23702" w:rsidP="008E381B">
      <w:pPr>
        <w:spacing w:after="0" w:line="240" w:lineRule="auto"/>
        <w:rPr>
          <w:rFonts w:ascii="Times New Roman" w:hAnsi="Times New Roman" w:cs="Times New Roman"/>
        </w:rPr>
      </w:pPr>
    </w:p>
    <w:sectPr w:rsidR="00E23702" w:rsidRPr="00442C01" w:rsidSect="00761362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0166" w14:textId="77777777" w:rsidR="007E3BA1" w:rsidRDefault="007E3BA1" w:rsidP="00305214">
      <w:pPr>
        <w:spacing w:after="0" w:line="240" w:lineRule="auto"/>
      </w:pPr>
      <w:r>
        <w:separator/>
      </w:r>
    </w:p>
  </w:endnote>
  <w:endnote w:type="continuationSeparator" w:id="0">
    <w:p w14:paraId="23AB009F" w14:textId="77777777" w:rsidR="007E3BA1" w:rsidRDefault="007E3BA1" w:rsidP="0030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9FFC7" w14:textId="77777777" w:rsidR="007E3BA1" w:rsidRDefault="007E3BA1" w:rsidP="00305214">
      <w:pPr>
        <w:spacing w:after="0" w:line="240" w:lineRule="auto"/>
      </w:pPr>
      <w:r>
        <w:separator/>
      </w:r>
    </w:p>
  </w:footnote>
  <w:footnote w:type="continuationSeparator" w:id="0">
    <w:p w14:paraId="38E6568F" w14:textId="77777777" w:rsidR="007E3BA1" w:rsidRDefault="007E3BA1" w:rsidP="0030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2A86"/>
    <w:multiLevelType w:val="hybridMultilevel"/>
    <w:tmpl w:val="E288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021AC"/>
    <w:multiLevelType w:val="hybridMultilevel"/>
    <w:tmpl w:val="D9227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52"/>
    <w:rsid w:val="000117E1"/>
    <w:rsid w:val="00046292"/>
    <w:rsid w:val="00053128"/>
    <w:rsid w:val="000916D8"/>
    <w:rsid w:val="00097666"/>
    <w:rsid w:val="000B5BFD"/>
    <w:rsid w:val="000E29A2"/>
    <w:rsid w:val="000E2B5C"/>
    <w:rsid w:val="000F125C"/>
    <w:rsid w:val="0010032A"/>
    <w:rsid w:val="00132F72"/>
    <w:rsid w:val="001372B2"/>
    <w:rsid w:val="00152F46"/>
    <w:rsid w:val="00154D11"/>
    <w:rsid w:val="00154DC8"/>
    <w:rsid w:val="00174C75"/>
    <w:rsid w:val="00175E5A"/>
    <w:rsid w:val="00177EE4"/>
    <w:rsid w:val="001826D2"/>
    <w:rsid w:val="001910DE"/>
    <w:rsid w:val="001C6490"/>
    <w:rsid w:val="001F71C1"/>
    <w:rsid w:val="00206F40"/>
    <w:rsid w:val="0022446D"/>
    <w:rsid w:val="00235439"/>
    <w:rsid w:val="00267C38"/>
    <w:rsid w:val="002752CB"/>
    <w:rsid w:val="002A4F89"/>
    <w:rsid w:val="002B3669"/>
    <w:rsid w:val="002B65D4"/>
    <w:rsid w:val="002D29F4"/>
    <w:rsid w:val="002E0C70"/>
    <w:rsid w:val="002E23EF"/>
    <w:rsid w:val="003000F9"/>
    <w:rsid w:val="00305214"/>
    <w:rsid w:val="00311C81"/>
    <w:rsid w:val="00315BD2"/>
    <w:rsid w:val="00324B38"/>
    <w:rsid w:val="00326AA8"/>
    <w:rsid w:val="003272EA"/>
    <w:rsid w:val="003649D9"/>
    <w:rsid w:val="0037012C"/>
    <w:rsid w:val="00371E0B"/>
    <w:rsid w:val="00387334"/>
    <w:rsid w:val="003920E3"/>
    <w:rsid w:val="003A2FDD"/>
    <w:rsid w:val="003C30F2"/>
    <w:rsid w:val="003C32BC"/>
    <w:rsid w:val="00402FAB"/>
    <w:rsid w:val="00425A40"/>
    <w:rsid w:val="004352FE"/>
    <w:rsid w:val="00442C01"/>
    <w:rsid w:val="00454BEA"/>
    <w:rsid w:val="004636A4"/>
    <w:rsid w:val="00485EA6"/>
    <w:rsid w:val="0049271A"/>
    <w:rsid w:val="004B6C80"/>
    <w:rsid w:val="004B73A7"/>
    <w:rsid w:val="004C257A"/>
    <w:rsid w:val="004C2B84"/>
    <w:rsid w:val="004E180C"/>
    <w:rsid w:val="004E2687"/>
    <w:rsid w:val="004F4240"/>
    <w:rsid w:val="004F7ED7"/>
    <w:rsid w:val="005006A7"/>
    <w:rsid w:val="00512872"/>
    <w:rsid w:val="00534EBC"/>
    <w:rsid w:val="00540554"/>
    <w:rsid w:val="00542169"/>
    <w:rsid w:val="00553C66"/>
    <w:rsid w:val="005627A1"/>
    <w:rsid w:val="00594879"/>
    <w:rsid w:val="005A0888"/>
    <w:rsid w:val="005A3B1E"/>
    <w:rsid w:val="005B08CB"/>
    <w:rsid w:val="005C58D9"/>
    <w:rsid w:val="00616FDF"/>
    <w:rsid w:val="0062444A"/>
    <w:rsid w:val="006433B0"/>
    <w:rsid w:val="006542DF"/>
    <w:rsid w:val="006754C6"/>
    <w:rsid w:val="006D0CF3"/>
    <w:rsid w:val="006D5A99"/>
    <w:rsid w:val="006D7550"/>
    <w:rsid w:val="006F4194"/>
    <w:rsid w:val="006F69E1"/>
    <w:rsid w:val="006F6EE8"/>
    <w:rsid w:val="0070097F"/>
    <w:rsid w:val="007067E7"/>
    <w:rsid w:val="00706DA4"/>
    <w:rsid w:val="00755452"/>
    <w:rsid w:val="00761362"/>
    <w:rsid w:val="007735E0"/>
    <w:rsid w:val="00775A6D"/>
    <w:rsid w:val="007A5C3D"/>
    <w:rsid w:val="007B0B5C"/>
    <w:rsid w:val="007B1E52"/>
    <w:rsid w:val="007D6324"/>
    <w:rsid w:val="007D7539"/>
    <w:rsid w:val="007E261C"/>
    <w:rsid w:val="007E3BA1"/>
    <w:rsid w:val="007F0B4A"/>
    <w:rsid w:val="00824CDA"/>
    <w:rsid w:val="00842D42"/>
    <w:rsid w:val="008514E1"/>
    <w:rsid w:val="00871C8C"/>
    <w:rsid w:val="00877481"/>
    <w:rsid w:val="008801D4"/>
    <w:rsid w:val="00886E7E"/>
    <w:rsid w:val="008954AF"/>
    <w:rsid w:val="00896C71"/>
    <w:rsid w:val="008B0671"/>
    <w:rsid w:val="008D2169"/>
    <w:rsid w:val="008D35D1"/>
    <w:rsid w:val="008E381B"/>
    <w:rsid w:val="008F2FDE"/>
    <w:rsid w:val="008F7F64"/>
    <w:rsid w:val="0090452C"/>
    <w:rsid w:val="0091137E"/>
    <w:rsid w:val="00915A65"/>
    <w:rsid w:val="00917532"/>
    <w:rsid w:val="0093510B"/>
    <w:rsid w:val="00950CA5"/>
    <w:rsid w:val="00951F6B"/>
    <w:rsid w:val="00961053"/>
    <w:rsid w:val="00986FD4"/>
    <w:rsid w:val="009C6709"/>
    <w:rsid w:val="009D756E"/>
    <w:rsid w:val="00A277A0"/>
    <w:rsid w:val="00A471BE"/>
    <w:rsid w:val="00A63438"/>
    <w:rsid w:val="00A715A4"/>
    <w:rsid w:val="00A75878"/>
    <w:rsid w:val="00A83DFF"/>
    <w:rsid w:val="00A9044D"/>
    <w:rsid w:val="00AA4C62"/>
    <w:rsid w:val="00AA690E"/>
    <w:rsid w:val="00AD6337"/>
    <w:rsid w:val="00AF060B"/>
    <w:rsid w:val="00B000FC"/>
    <w:rsid w:val="00B0203A"/>
    <w:rsid w:val="00B0588D"/>
    <w:rsid w:val="00B15C49"/>
    <w:rsid w:val="00B17DC3"/>
    <w:rsid w:val="00B22AE1"/>
    <w:rsid w:val="00B33D36"/>
    <w:rsid w:val="00B4201C"/>
    <w:rsid w:val="00B61FEA"/>
    <w:rsid w:val="00B80C53"/>
    <w:rsid w:val="00B80E3D"/>
    <w:rsid w:val="00B87202"/>
    <w:rsid w:val="00B92A16"/>
    <w:rsid w:val="00B957B8"/>
    <w:rsid w:val="00BB77D7"/>
    <w:rsid w:val="00BC72DF"/>
    <w:rsid w:val="00BF3A25"/>
    <w:rsid w:val="00C11336"/>
    <w:rsid w:val="00C14F02"/>
    <w:rsid w:val="00C203E3"/>
    <w:rsid w:val="00C63AF6"/>
    <w:rsid w:val="00C761E8"/>
    <w:rsid w:val="00C84EA5"/>
    <w:rsid w:val="00CA4E26"/>
    <w:rsid w:val="00CA66B0"/>
    <w:rsid w:val="00CC015B"/>
    <w:rsid w:val="00CC272B"/>
    <w:rsid w:val="00CD27AF"/>
    <w:rsid w:val="00CD755B"/>
    <w:rsid w:val="00CE065C"/>
    <w:rsid w:val="00CF7D6A"/>
    <w:rsid w:val="00D06676"/>
    <w:rsid w:val="00D069E7"/>
    <w:rsid w:val="00D07385"/>
    <w:rsid w:val="00D74291"/>
    <w:rsid w:val="00D92E99"/>
    <w:rsid w:val="00DA135B"/>
    <w:rsid w:val="00DB3531"/>
    <w:rsid w:val="00DC08D1"/>
    <w:rsid w:val="00DE7C09"/>
    <w:rsid w:val="00DF1248"/>
    <w:rsid w:val="00DF7E2C"/>
    <w:rsid w:val="00E20D45"/>
    <w:rsid w:val="00E23702"/>
    <w:rsid w:val="00E42DB5"/>
    <w:rsid w:val="00E4390D"/>
    <w:rsid w:val="00E47C49"/>
    <w:rsid w:val="00E53AAA"/>
    <w:rsid w:val="00E67682"/>
    <w:rsid w:val="00E70E67"/>
    <w:rsid w:val="00E8334E"/>
    <w:rsid w:val="00E93EB4"/>
    <w:rsid w:val="00E96336"/>
    <w:rsid w:val="00E970E8"/>
    <w:rsid w:val="00EA5058"/>
    <w:rsid w:val="00EB08C2"/>
    <w:rsid w:val="00EC17FD"/>
    <w:rsid w:val="00EF4C94"/>
    <w:rsid w:val="00F01105"/>
    <w:rsid w:val="00F21FAE"/>
    <w:rsid w:val="00F427AA"/>
    <w:rsid w:val="00F51672"/>
    <w:rsid w:val="00F71928"/>
    <w:rsid w:val="00F7208F"/>
    <w:rsid w:val="00F80B35"/>
    <w:rsid w:val="00FB4812"/>
    <w:rsid w:val="00FC2B2C"/>
    <w:rsid w:val="00FD7FBA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F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C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2C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EA5"/>
    <w:pPr>
      <w:ind w:left="720"/>
      <w:contextualSpacing/>
    </w:pPr>
  </w:style>
  <w:style w:type="character" w:customStyle="1" w:styleId="Teksttreci4">
    <w:name w:val="Tekst treści (4)_"/>
    <w:link w:val="Teksttreci41"/>
    <w:rsid w:val="00152F46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152F46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C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2C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EA5"/>
    <w:pPr>
      <w:ind w:left="720"/>
      <w:contextualSpacing/>
    </w:pPr>
  </w:style>
  <w:style w:type="character" w:customStyle="1" w:styleId="Teksttreci4">
    <w:name w:val="Tekst treści (4)_"/>
    <w:link w:val="Teksttreci41"/>
    <w:rsid w:val="00152F46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152F46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linowska@m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Malinowska</dc:creator>
  <cp:lastModifiedBy>User</cp:lastModifiedBy>
  <cp:revision>2</cp:revision>
  <cp:lastPrinted>2017-12-18T09:42:00Z</cp:lastPrinted>
  <dcterms:created xsi:type="dcterms:W3CDTF">2019-01-10T10:26:00Z</dcterms:created>
  <dcterms:modified xsi:type="dcterms:W3CDTF">2019-01-10T10:26:00Z</dcterms:modified>
</cp:coreProperties>
</file>