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18" w:rsidRPr="00880618" w:rsidRDefault="00880618" w:rsidP="00525937">
      <w:pPr>
        <w:pStyle w:val="OZNPROJEKTUwskazaniedatylubwersjiprojektu"/>
      </w:pPr>
      <w:bookmarkStart w:id="0" w:name="_GoBack"/>
      <w:bookmarkEnd w:id="0"/>
      <w:r w:rsidRPr="00880618">
        <w:t xml:space="preserve">Projekt z dnia </w:t>
      </w:r>
      <w:r w:rsidR="004811CE">
        <w:t>2</w:t>
      </w:r>
      <w:r w:rsidR="004274B4">
        <w:t>3</w:t>
      </w:r>
      <w:r w:rsidRPr="00880618">
        <w:t>.05.2018 r.</w:t>
      </w:r>
    </w:p>
    <w:p w:rsidR="00880618" w:rsidRPr="00880618" w:rsidRDefault="00880618" w:rsidP="00880618">
      <w:pPr>
        <w:pStyle w:val="OZNRODZAKTUtznustawalubrozporzdzenieiorganwydajcy"/>
        <w:rPr>
          <w:rFonts w:eastAsiaTheme="minorEastAsia"/>
        </w:rPr>
      </w:pPr>
      <w:r w:rsidRPr="00880618">
        <w:rPr>
          <w:rFonts w:eastAsiaTheme="minorEastAsia"/>
        </w:rPr>
        <w:t>USTAWA</w:t>
      </w:r>
    </w:p>
    <w:p w:rsidR="00880618" w:rsidRPr="00880618" w:rsidRDefault="00880618" w:rsidP="00880618">
      <w:pPr>
        <w:pStyle w:val="DATAAKTUdatauchwalenialubwydaniaaktu"/>
      </w:pPr>
      <w:r w:rsidRPr="00880618">
        <w:t>z dnia …………………………..</w:t>
      </w:r>
    </w:p>
    <w:p w:rsidR="00880618" w:rsidRPr="00880618" w:rsidRDefault="00880618" w:rsidP="00880618">
      <w:pPr>
        <w:pStyle w:val="TYTUAKTUprzedmiotregulacjiustawylubrozporzdzenia"/>
      </w:pPr>
      <w:r w:rsidRPr="00880618">
        <w:t>o zmianie ustawy o sposobie ustalania najniższego wynagrodzenia zasadniczego pracowników wykonujących zawody medyczne zatrudnionych w podmiotach leczniczych</w:t>
      </w:r>
    </w:p>
    <w:p w:rsidR="00880618" w:rsidRPr="00880618" w:rsidRDefault="00880618" w:rsidP="00880618">
      <w:pPr>
        <w:pStyle w:val="ARTartustawynprozporzdzenia"/>
        <w:keepNext/>
      </w:pPr>
      <w:r w:rsidRPr="00880618">
        <w:rPr>
          <w:rStyle w:val="Ppogrubienie"/>
        </w:rPr>
        <w:t>Art. 1.</w:t>
      </w:r>
      <w:r>
        <w:t> </w:t>
      </w:r>
      <w:r w:rsidRPr="00880618">
        <w:t>W ustawie z dnia 8 czerwca 2017 r. o sposobie ustalania najniższego wynagrodzenia zasadniczego pracowników wykonujących zawody medyczne zatrudnionych w podmiotach leczniczych (Dz. U. poz. 1473) wprowadza się następujące zmiany:</w:t>
      </w:r>
    </w:p>
    <w:p w:rsidR="00880618" w:rsidRPr="00880618" w:rsidRDefault="00880618" w:rsidP="00525937">
      <w:pPr>
        <w:pStyle w:val="PKTpunkt"/>
      </w:pPr>
      <w:r w:rsidRPr="00880618">
        <w:t>1)</w:t>
      </w:r>
      <w:r>
        <w:tab/>
      </w:r>
      <w:r w:rsidRPr="00880618">
        <w:t>tytuł ustawy otrzymuje brzmienie:</w:t>
      </w:r>
    </w:p>
    <w:p w:rsidR="00880618" w:rsidRPr="00880618" w:rsidRDefault="00880618" w:rsidP="007622F3">
      <w:pPr>
        <w:pStyle w:val="ZTYTDZPRZEDMzmprzedmtytuulubdziauartykuempunktem"/>
      </w:pPr>
      <w:r>
        <w:t>„</w:t>
      </w:r>
      <w:r w:rsidRPr="00880618">
        <w:t xml:space="preserve">o </w:t>
      </w:r>
      <w:r w:rsidRPr="00525937">
        <w:t>sposobie</w:t>
      </w:r>
      <w:r w:rsidRPr="00880618">
        <w:t xml:space="preserve"> ustalania najniższego wynagrodzenia zasadniczego niektórych pracowników zatrudnionych w podmiotach leczniczych</w:t>
      </w:r>
      <w:r>
        <w:t>”</w:t>
      </w:r>
      <w:r w:rsidRPr="00880618">
        <w:t>;</w:t>
      </w:r>
    </w:p>
    <w:p w:rsidR="00880618" w:rsidRPr="00880618" w:rsidRDefault="00880618" w:rsidP="00525937">
      <w:pPr>
        <w:pStyle w:val="PKTpunkt"/>
      </w:pPr>
      <w:r w:rsidRPr="00880618">
        <w:t>2)</w:t>
      </w:r>
      <w:r>
        <w:tab/>
      </w:r>
      <w:r w:rsidRPr="00880618">
        <w:t>art. 1 otrzymuje brzmienie:</w:t>
      </w:r>
    </w:p>
    <w:p w:rsidR="00880618" w:rsidRPr="00880618" w:rsidRDefault="00880618" w:rsidP="00904A7F">
      <w:pPr>
        <w:pStyle w:val="ZARTzmartartykuempunktem"/>
      </w:pPr>
      <w:r>
        <w:t>„</w:t>
      </w:r>
      <w:r w:rsidRPr="00880618">
        <w:t>Art.</w:t>
      </w:r>
      <w:r>
        <w:t> </w:t>
      </w:r>
      <w:r w:rsidRPr="00880618">
        <w:t>1.</w:t>
      </w:r>
      <w:r>
        <w:t> </w:t>
      </w:r>
      <w:r w:rsidRPr="00880618">
        <w:t>Ustawa określa sposób ustalania najniższego wynagrodzenia zasadniczego pracowników wykonujących zawody medyczne oraz pracowników działalności podstawowej, innych niż pracownicy wykonujący zawody medyczne, zatrudnionych w podmiotach leczniczych, uwzględniający rodzaj wykonywanej pracy oraz sposób osiągania najniższego wynagrodzenia zasadniczego.</w:t>
      </w:r>
      <w:r>
        <w:t>”</w:t>
      </w:r>
      <w:r w:rsidRPr="00880618">
        <w:t>;</w:t>
      </w:r>
    </w:p>
    <w:p w:rsidR="00880618" w:rsidRPr="00880618" w:rsidRDefault="00880618" w:rsidP="00525937">
      <w:pPr>
        <w:pStyle w:val="PKTpunkt"/>
      </w:pPr>
      <w:r w:rsidRPr="00880618">
        <w:t>3)</w:t>
      </w:r>
      <w:r>
        <w:tab/>
      </w:r>
      <w:r w:rsidRPr="00880618">
        <w:t>w art. 2:</w:t>
      </w:r>
    </w:p>
    <w:p w:rsidR="00880618" w:rsidRPr="00880618" w:rsidRDefault="00880618" w:rsidP="00525937">
      <w:pPr>
        <w:pStyle w:val="LITlitera"/>
      </w:pPr>
      <w:r w:rsidRPr="00880618">
        <w:t>a)</w:t>
      </w:r>
      <w:r>
        <w:tab/>
      </w:r>
      <w:r w:rsidRPr="00880618">
        <w:t>pkt 1 otrzymuje brzmienie:</w:t>
      </w:r>
    </w:p>
    <w:p w:rsidR="00880618" w:rsidRPr="00880618" w:rsidRDefault="00880618" w:rsidP="00904A7F">
      <w:pPr>
        <w:pStyle w:val="ZPKTzmpktartykuempunktem"/>
      </w:pPr>
      <w:r>
        <w:t>„</w:t>
      </w:r>
      <w:r w:rsidRPr="00880618">
        <w:t>1)</w:t>
      </w:r>
      <w:r>
        <w:tab/>
      </w:r>
      <w:r w:rsidRPr="00880618">
        <w:t>najniższe wynagrodzenie zasadnicze – najniższe miesięczne wynagrodzenie zasadnicze przysługujące pracownikowi wykonującemu zawód medyczny oraz pracownikowi działalności podstawowej, innemu niż pracownik wykonujący zawód medyczny, zatrudnionym w podmiocie leczniczym, obliczone w sposób określony w art. 3 albo art. 7;</w:t>
      </w:r>
      <w:r>
        <w:t>”</w:t>
      </w:r>
      <w:r w:rsidRPr="00880618">
        <w:t>,</w:t>
      </w:r>
    </w:p>
    <w:p w:rsidR="00880618" w:rsidRPr="00880618" w:rsidRDefault="00880618" w:rsidP="00525937">
      <w:pPr>
        <w:pStyle w:val="LITlitera"/>
      </w:pPr>
      <w:r w:rsidRPr="00880618">
        <w:t>b)</w:t>
      </w:r>
      <w:r>
        <w:tab/>
      </w:r>
      <w:r w:rsidRPr="00880618">
        <w:t>po pkt 3 kropkę zastępuje się średnikiem i dodaje się pkt 4 w brzmieniu:</w:t>
      </w:r>
    </w:p>
    <w:p w:rsidR="00880618" w:rsidRPr="00880618" w:rsidRDefault="00880618" w:rsidP="00904A7F">
      <w:pPr>
        <w:pStyle w:val="ZPKTzmpktartykuempunktem"/>
      </w:pPr>
      <w:r>
        <w:t>„</w:t>
      </w:r>
      <w:r w:rsidRPr="00880618">
        <w:t>4)</w:t>
      </w:r>
      <w:r>
        <w:tab/>
      </w:r>
      <w:r w:rsidRPr="00880618">
        <w:t xml:space="preserve">pracownik działalności podstawowej, inny niż pracownik wykonujący zawód medyczny – osoba zatrudniona w ramach stosunku pracy w podmiocie leczniczym, inna niż pracownik wykonujący zawód medyczny, która wykonuje pracę pozostającą w bezpośrednim związku z udzielaniem świadczeń zdrowotnych w komórkach organizacyjnych zakładu leczniczego, których działalność jest związana z udzielaniem świadczeń zdrowotnych, zatrudniona na stanowiskach </w:t>
      </w:r>
      <w:r w:rsidRPr="00880618">
        <w:lastRenderedPageBreak/>
        <w:t>działalności podstawowej określonych w przepisach wydanych na podstawie art. 50 ust. 5 ustawy z dnia 15 kwietnia 2011 r. o działalności leczniczej (Dz. U. z 2018 r. poz. 160, 138 i 650).</w:t>
      </w:r>
      <w:r>
        <w:t>”</w:t>
      </w:r>
      <w:r w:rsidRPr="00880618">
        <w:t>;</w:t>
      </w:r>
    </w:p>
    <w:p w:rsidR="00880618" w:rsidRPr="00880618" w:rsidRDefault="00880618" w:rsidP="00525937">
      <w:pPr>
        <w:pStyle w:val="PKTpunkt"/>
      </w:pPr>
      <w:r w:rsidRPr="00880618">
        <w:t>4)</w:t>
      </w:r>
      <w:r>
        <w:tab/>
      </w:r>
      <w:r w:rsidRPr="00880618">
        <w:t>w art. 3:</w:t>
      </w:r>
    </w:p>
    <w:p w:rsidR="00880618" w:rsidRPr="00880618" w:rsidRDefault="00880618" w:rsidP="00525937">
      <w:pPr>
        <w:pStyle w:val="LITlitera"/>
      </w:pPr>
      <w:r w:rsidRPr="00880618">
        <w:t>a)</w:t>
      </w:r>
      <w:r>
        <w:tab/>
      </w:r>
      <w:r w:rsidRPr="00880618">
        <w:t>w ust. 1 wprowadzenie do wyliczenia otrzymuje brzmienie:</w:t>
      </w:r>
    </w:p>
    <w:p w:rsidR="00880618" w:rsidRPr="00880618" w:rsidRDefault="00880618" w:rsidP="00904A7F">
      <w:pPr>
        <w:pStyle w:val="ZUSTzmustartykuempunktem"/>
      </w:pPr>
      <w:r>
        <w:t>„</w:t>
      </w:r>
      <w:r w:rsidRPr="00880618">
        <w:t xml:space="preserve">Do dnia 31 grudnia 2021 r. podmiot leczniczy dokonuje podwyższenia wynagrodzenia zasadniczego pracownika wykonującego zawód medyczny oraz pracownika działalności podstawowej, innego niż pracownik wykonujący zawód medyczny, którego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w:t>
      </w:r>
      <w:r>
        <w:t>„</w:t>
      </w:r>
      <w:r w:rsidRPr="00880618">
        <w:t>Monitor Polski</w:t>
      </w:r>
      <w:r>
        <w:t>”</w:t>
      </w:r>
      <w:r w:rsidRPr="00880618">
        <w:t>, do wysokości nie niższej niż najniższe wynagrodzenie zasadnicze, z uwzględnieniem następujących warunków:</w:t>
      </w:r>
      <w:r>
        <w:t>”</w:t>
      </w:r>
      <w:r w:rsidRPr="00880618">
        <w:t>,</w:t>
      </w:r>
    </w:p>
    <w:p w:rsidR="00880618" w:rsidRPr="00880618" w:rsidRDefault="00880618" w:rsidP="00525937">
      <w:pPr>
        <w:pStyle w:val="LITlitera"/>
      </w:pPr>
      <w:r w:rsidRPr="00880618">
        <w:t>b)</w:t>
      </w:r>
      <w:r>
        <w:tab/>
      </w:r>
      <w:r w:rsidRPr="00880618">
        <w:t>w ust. 1 w pkt 4 wprowadzenie do wyliczenia otrzymuje brzmienie:</w:t>
      </w:r>
    </w:p>
    <w:p w:rsidR="00880618" w:rsidRPr="00880618" w:rsidRDefault="00880618" w:rsidP="007622F3">
      <w:pPr>
        <w:pStyle w:val="ZLITCZWSPPKTzmczciwsppktliter"/>
      </w:pPr>
      <w:r>
        <w:t>„</w:t>
      </w:r>
      <w:r w:rsidRPr="00880618">
        <w:t xml:space="preserve">jeżeli porozumienie </w:t>
      </w:r>
      <w:r w:rsidRPr="00904A7F">
        <w:t>nie</w:t>
      </w:r>
      <w:r w:rsidRPr="00880618">
        <w:t xml:space="preserve"> zostanie zawarte w terminie określonym w pkt 3, sposób podwyższania wynagrodzenia zasadniczego ustala corocznie do dnia 15 czerwca, w drodze zarządzenia w sprawie podwyższenia wynagrodzenia, zwanego dalej </w:t>
      </w:r>
      <w:r>
        <w:t>„</w:t>
      </w:r>
      <w:r w:rsidRPr="00880618">
        <w:t>zarządzeniem</w:t>
      </w:r>
      <w:r>
        <w:t>”</w:t>
      </w:r>
      <w:r w:rsidRPr="00880618">
        <w:t>:</w:t>
      </w:r>
      <w:r>
        <w:t>”</w:t>
      </w:r>
      <w:r w:rsidRPr="00880618">
        <w:t>,</w:t>
      </w:r>
    </w:p>
    <w:p w:rsidR="00880618" w:rsidRPr="00880618" w:rsidRDefault="00880618" w:rsidP="00525937">
      <w:pPr>
        <w:pStyle w:val="LITlitera"/>
      </w:pPr>
      <w:r w:rsidRPr="00880618">
        <w:t>c)</w:t>
      </w:r>
      <w:r>
        <w:tab/>
      </w:r>
      <w:r w:rsidRPr="00880618">
        <w:t>w ust. 1 w pkt 5 lit. b–e otrzymują brzmienie:</w:t>
      </w:r>
    </w:p>
    <w:p w:rsidR="00880618" w:rsidRPr="00880618" w:rsidRDefault="00880618" w:rsidP="00904A7F">
      <w:pPr>
        <w:pStyle w:val="ZLITzmlitartykuempunktem"/>
      </w:pPr>
      <w:r>
        <w:t>„</w:t>
      </w:r>
      <w:r w:rsidRPr="00880618">
        <w:t>b)</w:t>
      </w:r>
      <w:r>
        <w:tab/>
      </w:r>
      <w:r w:rsidRPr="00880618">
        <w:t>na dzień 1 lipca 2018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PKTzmpktartykuempunktem"/>
      </w:pPr>
      <w:r w:rsidRPr="00880618">
        <w:t>c)</w:t>
      </w:r>
      <w:r>
        <w:tab/>
      </w:r>
      <w:r w:rsidRPr="00880618">
        <w:t>na dzień 1 lipca 2019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LITzmlitartykuempunktem"/>
      </w:pPr>
      <w:r w:rsidRPr="00880618">
        <w:t>d)</w:t>
      </w:r>
      <w:r>
        <w:tab/>
      </w:r>
      <w:r w:rsidRPr="00880618">
        <w:t xml:space="preserve">na dzień 1 lipca 2020 r. wynagrodzenie zasadnicze pracownika wykonującego zawód medyczny oraz pracownika działalności podstawowej, innego niż pracownik </w:t>
      </w:r>
      <w:r w:rsidRPr="00880618">
        <w:lastRenderedPageBreak/>
        <w:t>wykonujący zawód medyczny, podwyższa się co najmniej o 20% kwoty stanowiącej różnicę pomiędzy najniższym wynagrodzeniem zasadniczym a wynagrodzeniem zasadniczym tego pracownika,</w:t>
      </w:r>
    </w:p>
    <w:p w:rsidR="00880618" w:rsidRPr="00880618" w:rsidRDefault="00880618" w:rsidP="00904A7F">
      <w:pPr>
        <w:pStyle w:val="ZLITzmlitartykuempunktem"/>
      </w:pPr>
      <w:r w:rsidRPr="00880618">
        <w:t>e)</w:t>
      </w:r>
      <w:r>
        <w:tab/>
      </w:r>
      <w:r w:rsidRPr="00880618">
        <w:t>na dzień 1 lipca 2021 r. wynagrodzenie zasadnicze pracownika wykonującego zawód medyczny oraz pracownika działalności podstawowej, innego niż pracownik wykonujący zawód medyczny, podwyższa się co najmniej o 20% kwoty stanowiącej różnicę pomiędzy najniższym wynagrodzeniem zasadniczym a wynagrodzeniem zasadniczym tego pracownika.</w:t>
      </w:r>
      <w:r>
        <w:t>”</w:t>
      </w:r>
      <w:r w:rsidRPr="00880618">
        <w:t>,</w:t>
      </w:r>
    </w:p>
    <w:p w:rsidR="00880618" w:rsidRPr="00880618" w:rsidRDefault="00880618" w:rsidP="00525937">
      <w:pPr>
        <w:pStyle w:val="LITlitera"/>
      </w:pPr>
      <w:r w:rsidRPr="00880618">
        <w:t>d)</w:t>
      </w:r>
      <w:r>
        <w:tab/>
      </w:r>
      <w:r w:rsidRPr="00880618">
        <w:t>ust. 2 otrzymuje brzmienie:</w:t>
      </w:r>
    </w:p>
    <w:p w:rsidR="00880618" w:rsidRPr="00880618" w:rsidRDefault="00880618" w:rsidP="00904A7F">
      <w:pPr>
        <w:pStyle w:val="ZUSTzmustartykuempunktem"/>
      </w:pPr>
      <w:r>
        <w:t>„</w:t>
      </w:r>
      <w:r w:rsidRPr="00880618">
        <w:t>2.</w:t>
      </w:r>
      <w:r>
        <w:t> </w:t>
      </w:r>
      <w:r w:rsidRPr="00880618">
        <w:t>Pracownikowi wykonującemu zawód medyczny oraz pracownikowi działalności podstawowej, innemu niż pracownik wykonujący zawód medyczny, zatrudnionym w niepełnym wymiarze czasu pracy najniższe wynagrodzenie zasadnicze oblicza się proporcjonalnie do wymiaru czasu pracy określonego w ramach stosunku pracy.</w:t>
      </w:r>
      <w:r>
        <w:t>”</w:t>
      </w:r>
      <w:r w:rsidRPr="00880618">
        <w:t>,</w:t>
      </w:r>
    </w:p>
    <w:p w:rsidR="00880618" w:rsidRPr="00880618" w:rsidRDefault="00880618" w:rsidP="00525937">
      <w:pPr>
        <w:pStyle w:val="CZWSPLITczwsplnaliter"/>
      </w:pPr>
      <w:r w:rsidRPr="00880618">
        <w:t>e)</w:t>
      </w:r>
      <w:r>
        <w:tab/>
      </w:r>
      <w:r w:rsidRPr="00880618">
        <w:t>ust. 4 otrzymuje brzmienie:</w:t>
      </w:r>
    </w:p>
    <w:p w:rsidR="00880618" w:rsidRPr="00880618" w:rsidRDefault="00880618" w:rsidP="00904A7F">
      <w:pPr>
        <w:pStyle w:val="ZUSTzmustartykuempunktem"/>
      </w:pPr>
      <w:r>
        <w:t>„</w:t>
      </w:r>
      <w:r w:rsidRPr="00880618">
        <w:t>4.</w:t>
      </w:r>
      <w:r>
        <w:t> </w:t>
      </w:r>
      <w:r w:rsidRPr="00880618">
        <w:t>Od dnia 1 stycznia 2022 r. wynagrodzenie zasadnicze pracownika wykonującego zawód medyczny oraz pracownika działalności podstawowej, innego niż pracownik wykonujący zawód medyczny, nie może być niższe niż najniższe wynagrodzenie zasadnicze ustalone w sposób określony w ust. 1 na dzień 31 grudnia 2021 r.</w:t>
      </w:r>
      <w:r>
        <w:t>”</w:t>
      </w:r>
      <w:r w:rsidRPr="00880618">
        <w:t>;</w:t>
      </w:r>
    </w:p>
    <w:p w:rsidR="00880618" w:rsidRPr="00880618" w:rsidRDefault="00880618" w:rsidP="00525937">
      <w:pPr>
        <w:pStyle w:val="PKTpunkt"/>
      </w:pPr>
      <w:r w:rsidRPr="00880618">
        <w:t>5)</w:t>
      </w:r>
      <w:r>
        <w:tab/>
      </w:r>
      <w:r w:rsidRPr="00880618">
        <w:t>po art. 3 dodaje się art. 3a w brzmieniu:</w:t>
      </w:r>
    </w:p>
    <w:p w:rsidR="00880618" w:rsidRPr="00880618" w:rsidRDefault="00880618" w:rsidP="00904A7F">
      <w:pPr>
        <w:pStyle w:val="ZARTzmartartykuempunktem"/>
      </w:pPr>
      <w:r>
        <w:t>„</w:t>
      </w:r>
      <w:r w:rsidRPr="00880618">
        <w:t>Art.</w:t>
      </w:r>
      <w:r>
        <w:t> </w:t>
      </w:r>
      <w:r w:rsidRPr="00880618">
        <w:t>3a.</w:t>
      </w:r>
      <w:r>
        <w:t> </w:t>
      </w:r>
      <w:r w:rsidRPr="00880618">
        <w:t>Warunków określonych w ust. 1 pkt 1–5 nie stosuje się do lekarzy i lekarzy dentystów odbywających specjalizację w ramach rezydentury oraz lekarzy i lekarzy dentystów odbywających staż, których zasadnicze wynagrodzenie miesięczne jest określane na podstawie odrębnych przepisów.</w:t>
      </w:r>
      <w:r>
        <w:t>”</w:t>
      </w:r>
      <w:r w:rsidR="004811CE">
        <w:t>;</w:t>
      </w:r>
    </w:p>
    <w:p w:rsidR="00880618" w:rsidRPr="00880618" w:rsidRDefault="00880618" w:rsidP="00525937">
      <w:pPr>
        <w:pStyle w:val="PKTpunkt"/>
      </w:pPr>
      <w:r w:rsidRPr="00880618">
        <w:t>6)</w:t>
      </w:r>
      <w:r>
        <w:tab/>
      </w:r>
      <w:r w:rsidRPr="00880618">
        <w:t>załącznik do ustawy otrzymuje brzmienie określone w załączniku do niniejszej ustawy.</w:t>
      </w:r>
    </w:p>
    <w:p w:rsidR="00880618" w:rsidRPr="00880618" w:rsidRDefault="00880618" w:rsidP="00880618">
      <w:pPr>
        <w:pStyle w:val="ARTartustawynprozporzdzenia"/>
      </w:pPr>
      <w:r w:rsidRPr="00880618">
        <w:rPr>
          <w:rStyle w:val="Ppogrubienie"/>
        </w:rPr>
        <w:t>Art. 2.</w:t>
      </w:r>
      <w:r>
        <w:t> </w:t>
      </w:r>
      <w:r w:rsidRPr="00880618">
        <w:t>1. Pierwsze porozumienie, o którym mowa w art. 3 ust. 1 pkt 1 ustawy zmienianej w art. 1, w brzmieniu nadanym niniejszą ustawą, w zakresie pracowników wskazanych w grupie 11 załącznika do tej ustawy, w brzmieniu nadanym niniejszą ustawą, oraz pielęgniarek i położnych w zakresie zmiany ich współczynników pracy, zawiera się w terminie miesiąca od dnia wejścia w życie niniejszej ustawy.</w:t>
      </w:r>
    </w:p>
    <w:p w:rsidR="00880618" w:rsidRPr="00880618" w:rsidRDefault="00880618" w:rsidP="00880618">
      <w:pPr>
        <w:pStyle w:val="USTustnpkodeksu"/>
        <w:keepNext/>
      </w:pPr>
      <w:r w:rsidRPr="00880618">
        <w:t>2.</w:t>
      </w:r>
      <w:r>
        <w:t> </w:t>
      </w:r>
      <w:r w:rsidRPr="00880618">
        <w:t xml:space="preserve">Jeżeli porozumienie nie zostanie zawarte w terminie określonym w ust. 1, sposób podwyższania wynagrodzenia zasadniczego, w zakresie, o którym mowa w tym przepisie, </w:t>
      </w:r>
      <w:r w:rsidRPr="00880618">
        <w:lastRenderedPageBreak/>
        <w:t>ustala, w terminie 14 dni od upływu terminu, o którym mowa w ust. 1, w drodze zarządzenia w sprawie podwyższenia wynagrodzenia:</w:t>
      </w:r>
    </w:p>
    <w:p w:rsidR="00880618" w:rsidRPr="00880618" w:rsidRDefault="00880618" w:rsidP="00880618">
      <w:pPr>
        <w:pStyle w:val="PKTpunkt"/>
      </w:pPr>
      <w:r w:rsidRPr="00880618">
        <w:t>1)</w:t>
      </w:r>
      <w:r>
        <w:tab/>
      </w:r>
      <w:r w:rsidRPr="00880618">
        <w:t>kierownik podmiotu leczniczego;</w:t>
      </w:r>
    </w:p>
    <w:p w:rsidR="00880618" w:rsidRPr="00880618" w:rsidRDefault="00880618" w:rsidP="00880618">
      <w:pPr>
        <w:pStyle w:val="PKTpunkt"/>
      </w:pPr>
      <w:r w:rsidRPr="00880618">
        <w:t>2)</w:t>
      </w:r>
      <w:r>
        <w:tab/>
      </w:r>
      <w:r w:rsidRPr="00880618">
        <w:t>podmiot tworzący, w rozumieniu art. 2 ust. 1 pkt 6 ustawy z dnia 15 kwietnia 2011 r. o działalności leczniczej</w:t>
      </w:r>
      <w:r w:rsidR="00390421">
        <w:t xml:space="preserve"> </w:t>
      </w:r>
      <w:r w:rsidRPr="00880618">
        <w:t>(Dz. U. z 2018 r. poz. 160, 138 i 650) </w:t>
      </w:r>
      <w:r w:rsidR="00EE47A8" w:rsidRPr="00880618">
        <w:t>–</w:t>
      </w:r>
      <w:r w:rsidRPr="00880618">
        <w:t xml:space="preserve"> w przypadku podmiotów leczniczych działających w formie jednostek budżetowych, o których mowa w </w:t>
      </w:r>
      <w:hyperlink r:id="rId10" w:history="1">
        <w:r w:rsidRPr="00880618">
          <w:t>art. 4 ust. 1 pkt 3</w:t>
        </w:r>
      </w:hyperlink>
      <w:r w:rsidRPr="00880618">
        <w:t xml:space="preserve"> tej ustawy.</w:t>
      </w:r>
    </w:p>
    <w:p w:rsidR="00880618" w:rsidRPr="00880618" w:rsidRDefault="00880618" w:rsidP="00880618">
      <w:pPr>
        <w:pStyle w:val="USTustnpkodeksu"/>
      </w:pPr>
      <w:r w:rsidRPr="00880618">
        <w:t>3.</w:t>
      </w:r>
      <w:r>
        <w:t> </w:t>
      </w:r>
      <w:r w:rsidRPr="00880618">
        <w:t>Porozumienie albo zarządzenie, o których mowa w ust. 1 i 2, dotyczy sposobu podwyższania wynagrodzeń zasadniczych  pracowników na dzień 1 lipca 2018 r.</w:t>
      </w:r>
    </w:p>
    <w:p w:rsidR="00880618" w:rsidRDefault="00880618" w:rsidP="00880618">
      <w:pPr>
        <w:pStyle w:val="ARTartustawynprozporzdzenia"/>
      </w:pPr>
      <w:r w:rsidRPr="00880618">
        <w:rPr>
          <w:rStyle w:val="Ppogrubienie"/>
        </w:rPr>
        <w:t>Art. 3.</w:t>
      </w:r>
      <w:r>
        <w:t> </w:t>
      </w:r>
      <w:r w:rsidRPr="00880618">
        <w:t>Ustawa wchodzi w życie po upływie 14 dni od dnia ogłoszenia.</w:t>
      </w: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Default="00525937" w:rsidP="00880618">
      <w:pPr>
        <w:pStyle w:val="ARTartustawynprozporzdzenia"/>
      </w:pPr>
    </w:p>
    <w:p w:rsidR="00525937" w:rsidRPr="00880618" w:rsidRDefault="00525937" w:rsidP="00880618">
      <w:pPr>
        <w:pStyle w:val="ARTartustawynprozporzdzenia"/>
      </w:pPr>
    </w:p>
    <w:p w:rsidR="00880618" w:rsidRPr="00880618" w:rsidRDefault="00880618" w:rsidP="00525937">
      <w:pPr>
        <w:pStyle w:val="TEKSTZacznikido"/>
      </w:pPr>
      <w:r w:rsidRPr="00880618">
        <w:lastRenderedPageBreak/>
        <w:t>Załącznik do ustawy</w:t>
      </w:r>
      <w:r w:rsidR="00390421">
        <w:t xml:space="preserve"> z dnia….(</w:t>
      </w:r>
      <w:proofErr w:type="spellStart"/>
      <w:r w:rsidR="00390421">
        <w:t>poz</w:t>
      </w:r>
      <w:proofErr w:type="spellEnd"/>
      <w:r w:rsidR="00390421">
        <w:t>…)</w:t>
      </w:r>
    </w:p>
    <w:p w:rsidR="00880618" w:rsidRPr="00880618" w:rsidRDefault="00880618" w:rsidP="00525937">
      <w:pPr>
        <w:pStyle w:val="TYTTABELItytutabeli"/>
      </w:pPr>
      <w:r w:rsidRPr="00880618">
        <w:t>Współczynniki pracy</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4"/>
        <w:gridCol w:w="7066"/>
        <w:gridCol w:w="1701"/>
      </w:tblGrid>
      <w:tr w:rsidR="00880618" w:rsidRPr="00257EB6" w:rsidTr="004634E0">
        <w:trPr>
          <w:trHeight w:val="1050"/>
        </w:trPr>
        <w:tc>
          <w:tcPr>
            <w:tcW w:w="694" w:type="dxa"/>
          </w:tcPr>
          <w:p w:rsidR="00880618" w:rsidRPr="00880618" w:rsidRDefault="00880618" w:rsidP="00880618"/>
          <w:p w:rsidR="00880618" w:rsidRPr="00880618" w:rsidRDefault="00880618" w:rsidP="00525937">
            <w:pPr>
              <w:pStyle w:val="TEKSTwTABELIWYRODKOWANYtekstwyrodkowanywpoziomie"/>
            </w:pPr>
            <w:r w:rsidRPr="00880618">
              <w:t xml:space="preserve">Lp. </w:t>
            </w:r>
          </w:p>
        </w:tc>
        <w:tc>
          <w:tcPr>
            <w:tcW w:w="7066" w:type="dxa"/>
            <w:shd w:val="clear" w:color="auto" w:fill="auto"/>
            <w:vAlign w:val="center"/>
            <w:hideMark/>
          </w:tcPr>
          <w:p w:rsidR="00880618" w:rsidRPr="00880618" w:rsidRDefault="00880618" w:rsidP="00525937">
            <w:pPr>
              <w:pStyle w:val="TEKSTwTABELIWYRODKOWANYtekstwyrodkowanywpoziomie"/>
            </w:pPr>
            <w:r w:rsidRPr="00880618">
              <w:t>Grupy zawodowe według kwalifikacji wymaganych na zajmowanym stanowisku</w:t>
            </w:r>
          </w:p>
        </w:tc>
        <w:tc>
          <w:tcPr>
            <w:tcW w:w="1701" w:type="dxa"/>
            <w:shd w:val="clear" w:color="auto" w:fill="auto"/>
            <w:vAlign w:val="center"/>
            <w:hideMark/>
          </w:tcPr>
          <w:p w:rsidR="00880618" w:rsidRPr="00880618" w:rsidRDefault="00880618" w:rsidP="00525937">
            <w:pPr>
              <w:pStyle w:val="TEKSTwTABELIWYRODKOWANYtekstwyrodkowanywpoziomie"/>
            </w:pPr>
            <w:r w:rsidRPr="00880618">
              <w:t xml:space="preserve">Współczynnik pracy </w:t>
            </w:r>
          </w:p>
        </w:tc>
      </w:tr>
      <w:tr w:rsidR="00880618" w:rsidRPr="00257EB6" w:rsidTr="004634E0">
        <w:trPr>
          <w:trHeight w:val="343"/>
        </w:trPr>
        <w:tc>
          <w:tcPr>
            <w:tcW w:w="694" w:type="dxa"/>
          </w:tcPr>
          <w:p w:rsidR="00880618" w:rsidRPr="00880618" w:rsidRDefault="00880618" w:rsidP="00525937">
            <w:pPr>
              <w:pStyle w:val="TEKSTwTABELIWYRODKOWANYtekstwyrodkowanywpoziomie"/>
            </w:pPr>
            <w:r w:rsidRPr="00880618">
              <w:t>1</w:t>
            </w:r>
          </w:p>
        </w:tc>
        <w:tc>
          <w:tcPr>
            <w:tcW w:w="7066" w:type="dxa"/>
            <w:shd w:val="clear" w:color="auto" w:fill="auto"/>
            <w:vAlign w:val="center"/>
          </w:tcPr>
          <w:p w:rsidR="00880618" w:rsidRPr="00880618" w:rsidRDefault="00880618" w:rsidP="00525937">
            <w:pPr>
              <w:pStyle w:val="TEKSTwTABELIWYRODKOWANYtekstwyrodkowanywpoziomie"/>
            </w:pPr>
            <w:r w:rsidRPr="00880618">
              <w:t>2</w:t>
            </w:r>
          </w:p>
        </w:tc>
        <w:tc>
          <w:tcPr>
            <w:tcW w:w="1701" w:type="dxa"/>
            <w:shd w:val="clear" w:color="auto" w:fill="auto"/>
            <w:vAlign w:val="center"/>
          </w:tcPr>
          <w:p w:rsidR="00880618" w:rsidRPr="00880618" w:rsidRDefault="00880618" w:rsidP="00525937">
            <w:pPr>
              <w:pStyle w:val="TEKSTwTABELIWYRODKOWANYtekstwyrodkowanywpoziomie"/>
            </w:pPr>
            <w:r w:rsidRPr="00880618">
              <w:t>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1.</w:t>
            </w:r>
          </w:p>
        </w:tc>
        <w:tc>
          <w:tcPr>
            <w:tcW w:w="7066" w:type="dxa"/>
            <w:vAlign w:val="center"/>
          </w:tcPr>
          <w:p w:rsidR="00880618" w:rsidRPr="00880618" w:rsidRDefault="00880618" w:rsidP="00525937">
            <w:pPr>
              <w:pStyle w:val="TEKSTwTABELItekstzwcitympierwwierszem"/>
            </w:pPr>
            <w:r w:rsidRPr="00880618">
              <w:t>Lekarz albo lekarz dentysta, który uzyskał specjalizację drugiego stopnia lub tytuł specjalisty w określonej dziedzinie medycyny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1,27</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2.</w:t>
            </w:r>
          </w:p>
        </w:tc>
        <w:tc>
          <w:tcPr>
            <w:tcW w:w="7066" w:type="dxa"/>
            <w:vAlign w:val="center"/>
          </w:tcPr>
          <w:p w:rsidR="00880618" w:rsidRPr="00880618" w:rsidRDefault="00880618" w:rsidP="00525937">
            <w:pPr>
              <w:pStyle w:val="TEKSTwTABELItekstzwcitympierwwierszem"/>
            </w:pPr>
            <w:r w:rsidRPr="00880618">
              <w:t>Lekarz albo lekarz dentysta, który uzyskał specjalizację pierwszego stopnia w określonej dziedzinie medycyny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1,17</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3.</w:t>
            </w:r>
          </w:p>
        </w:tc>
        <w:tc>
          <w:tcPr>
            <w:tcW w:w="7066" w:type="dxa"/>
            <w:vAlign w:val="center"/>
          </w:tcPr>
          <w:p w:rsidR="00880618" w:rsidRPr="00880618" w:rsidRDefault="00880618" w:rsidP="00525937">
            <w:pPr>
              <w:pStyle w:val="TEKSTwTABELItekstzwcitympierwwierszem"/>
            </w:pPr>
            <w:r w:rsidRPr="00880618">
              <w:t>Lekarz albo lekarz dentysta, bez specjalizacji</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4.</w:t>
            </w:r>
          </w:p>
        </w:tc>
        <w:tc>
          <w:tcPr>
            <w:tcW w:w="7066" w:type="dxa"/>
            <w:vAlign w:val="center"/>
          </w:tcPr>
          <w:p w:rsidR="00880618" w:rsidRPr="00880618" w:rsidRDefault="00880618" w:rsidP="00525937">
            <w:pPr>
              <w:pStyle w:val="TEKSTwTABELItekstzwcitympierwwierszem"/>
            </w:pPr>
            <w:r w:rsidRPr="00880618">
              <w:t>Lekarz stażysta albo lekarz dentysta stażysta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5.</w:t>
            </w:r>
          </w:p>
        </w:tc>
        <w:tc>
          <w:tcPr>
            <w:tcW w:w="7066" w:type="dxa"/>
            <w:vAlign w:val="center"/>
          </w:tcPr>
          <w:p w:rsidR="00880618" w:rsidRPr="00880618" w:rsidRDefault="00880618" w:rsidP="00525937">
            <w:pPr>
              <w:pStyle w:val="TEKSTwTABELItekstzwcitympierwwierszem"/>
            </w:pPr>
            <w:r w:rsidRPr="00880618">
              <w:t xml:space="preserve">Farmaceuta, fizjoterapeuta, diagnosta laboratoryjny albo inny pracownik wykonujący zawód medyczny inny niż określony w lp. 1–4, wymagający wyższego wykształcenia i specjalizacji </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6.</w:t>
            </w:r>
          </w:p>
        </w:tc>
        <w:tc>
          <w:tcPr>
            <w:tcW w:w="7066" w:type="dxa"/>
            <w:vAlign w:val="center"/>
          </w:tcPr>
          <w:p w:rsidR="00880618" w:rsidRPr="00880618" w:rsidRDefault="00880618" w:rsidP="00525937">
            <w:pPr>
              <w:pStyle w:val="TEKSTwTABELItekstzwcitympierwwierszem"/>
            </w:pPr>
            <w:r w:rsidRPr="00880618">
              <w:t xml:space="preserve">Farmaceuta, fizjoterapeuta, diagnosta laboratoryjny albo inny pracownik wykonujący zawód medyczny inny niż określony w lp. 1–5, wymagający wyższego wykształcenia, bez specjalizacji </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7.</w:t>
            </w:r>
          </w:p>
        </w:tc>
        <w:tc>
          <w:tcPr>
            <w:tcW w:w="7066" w:type="dxa"/>
            <w:vAlign w:val="center"/>
          </w:tcPr>
          <w:p w:rsidR="00880618" w:rsidRPr="00880618" w:rsidRDefault="00880618" w:rsidP="00525937">
            <w:pPr>
              <w:pStyle w:val="TEKSTwTABELItekstzwcitympierwwierszem"/>
            </w:pPr>
            <w:r w:rsidRPr="00880618">
              <w:t>Pielęgniarka z tytułem zawodowym magister pielęgniarstwa albo położna z tytułem zawodowym magister położnictwa, która uzyskała tytuł specjalisty w dziedzinie pielęgniarstwa lub dziedzinie mającej zastosowanie w ochronie zdrowia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1,05</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8.</w:t>
            </w:r>
          </w:p>
        </w:tc>
        <w:tc>
          <w:tcPr>
            <w:tcW w:w="7066" w:type="dxa"/>
            <w:vAlign w:val="center"/>
          </w:tcPr>
          <w:p w:rsidR="00880618" w:rsidRPr="00880618" w:rsidRDefault="00880618" w:rsidP="00525937">
            <w:pPr>
              <w:pStyle w:val="TEKSTwTABELItekstzwcitympierwwierszem"/>
            </w:pPr>
            <w:r w:rsidRPr="00880618">
              <w:t>Pielęgniarka albo położna, która uzyskała tytuł specjalisty w dziedzinie pielęgniarstwa lub dziedzinie mającej zastosowanie w ochronie zdrowia albo pielęgniarka z tytułem zawodowym magister pielęgniarstwa albo położna z tytułem zawodowym magister położnictwa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0,73</w:t>
            </w:r>
          </w:p>
        </w:tc>
      </w:tr>
      <w:tr w:rsidR="00880618" w:rsidRPr="00257EB6" w:rsidTr="004634E0">
        <w:trPr>
          <w:trHeight w:val="405"/>
        </w:trPr>
        <w:tc>
          <w:tcPr>
            <w:tcW w:w="694" w:type="dxa"/>
          </w:tcPr>
          <w:p w:rsidR="00880618" w:rsidRPr="00880618" w:rsidRDefault="00880618" w:rsidP="00525937">
            <w:pPr>
              <w:pStyle w:val="P1wTABELIpoziom1numeracjiwtabeli"/>
            </w:pPr>
            <w:r w:rsidRPr="00880618">
              <w:t>9.</w:t>
            </w:r>
          </w:p>
        </w:tc>
        <w:tc>
          <w:tcPr>
            <w:tcW w:w="7066" w:type="dxa"/>
            <w:vAlign w:val="center"/>
          </w:tcPr>
          <w:p w:rsidR="00880618" w:rsidRPr="00880618" w:rsidRDefault="00880618" w:rsidP="00525937">
            <w:pPr>
              <w:pStyle w:val="TEKSTwTABELItekstzwcitympierwwierszem"/>
            </w:pPr>
            <w:r w:rsidRPr="00880618">
              <w:t>Pielęgniarka albo położna inna niż określona w lp. 7 i 8, która nie posiada tytułu specjalisty w dziedzinie pielęgniarstwa lub dziedzinie mającej zastosowanie w ochronie zdrowia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0,64</w:t>
            </w:r>
          </w:p>
        </w:tc>
      </w:tr>
      <w:tr w:rsidR="00880618" w:rsidRPr="00257EB6" w:rsidTr="004634E0">
        <w:trPr>
          <w:trHeight w:val="70"/>
        </w:trPr>
        <w:tc>
          <w:tcPr>
            <w:tcW w:w="694" w:type="dxa"/>
          </w:tcPr>
          <w:p w:rsidR="00880618" w:rsidRPr="00880618" w:rsidRDefault="00880618" w:rsidP="00525937">
            <w:pPr>
              <w:pStyle w:val="P1wTABELIpoziom1numeracjiwtabeli"/>
            </w:pPr>
            <w:r w:rsidRPr="00880618">
              <w:t>10.</w:t>
            </w:r>
          </w:p>
        </w:tc>
        <w:tc>
          <w:tcPr>
            <w:tcW w:w="7066" w:type="dxa"/>
            <w:vAlign w:val="center"/>
          </w:tcPr>
          <w:p w:rsidR="00880618" w:rsidRPr="00880618" w:rsidRDefault="00880618" w:rsidP="00525937">
            <w:pPr>
              <w:pStyle w:val="TEKSTwTABELItekstzwcitympierwwierszem"/>
            </w:pPr>
            <w:r w:rsidRPr="00880618">
              <w:t>Fizjoterapeuta albo inny pracownik wykonujący zawód medyczny inny niż określony w lp. 1–9, wymagający średniego wykształcenia</w:t>
            </w:r>
          </w:p>
        </w:tc>
        <w:tc>
          <w:tcPr>
            <w:tcW w:w="1701" w:type="dxa"/>
            <w:shd w:val="clear" w:color="auto" w:fill="auto"/>
            <w:noWrap/>
            <w:vAlign w:val="center"/>
          </w:tcPr>
          <w:p w:rsidR="00880618" w:rsidRPr="00880618" w:rsidRDefault="00880618" w:rsidP="00525937">
            <w:pPr>
              <w:pStyle w:val="TEKSTwTABELIWYRODKOWANYtekstwyrodkowanywpoziomie"/>
            </w:pPr>
            <w:r w:rsidRPr="00880618">
              <w:t>0,64</w:t>
            </w:r>
          </w:p>
        </w:tc>
      </w:tr>
      <w:tr w:rsidR="00880618" w:rsidRPr="00257EB6" w:rsidTr="004634E0">
        <w:trPr>
          <w:trHeight w:val="70"/>
        </w:trPr>
        <w:tc>
          <w:tcPr>
            <w:tcW w:w="694" w:type="dxa"/>
          </w:tcPr>
          <w:p w:rsidR="00880618" w:rsidRPr="00880618" w:rsidRDefault="00880618" w:rsidP="00525937">
            <w:pPr>
              <w:pStyle w:val="P1wTABELIpoziom1numeracjiwtabeli"/>
            </w:pPr>
            <w:r w:rsidRPr="00880618">
              <w:t>11.</w:t>
            </w:r>
          </w:p>
        </w:tc>
        <w:tc>
          <w:tcPr>
            <w:tcW w:w="7066" w:type="dxa"/>
            <w:vAlign w:val="center"/>
          </w:tcPr>
          <w:p w:rsidR="00880618" w:rsidRPr="00880618" w:rsidRDefault="00880618" w:rsidP="00525937">
            <w:pPr>
              <w:pStyle w:val="TEKSTwTABELItekstzwcitympierwwierszem"/>
            </w:pPr>
            <w:r w:rsidRPr="00880618">
              <w:t>Pracownik działalności podstawowej, inny niż pracownik wykonujący zawód medyczny</w:t>
            </w:r>
          </w:p>
        </w:tc>
        <w:tc>
          <w:tcPr>
            <w:tcW w:w="1701" w:type="dxa"/>
            <w:shd w:val="clear" w:color="auto" w:fill="auto"/>
            <w:noWrap/>
            <w:vAlign w:val="center"/>
          </w:tcPr>
          <w:p w:rsidR="00880618" w:rsidRPr="00880618" w:rsidRDefault="00880618" w:rsidP="00525937">
            <w:pPr>
              <w:pStyle w:val="TEKSTwTABELIWYRODKOWANYtekstwyrodkowanywpoziomie"/>
            </w:pPr>
            <w:r w:rsidRPr="00880618">
              <w:t>0,53</w:t>
            </w:r>
          </w:p>
        </w:tc>
      </w:tr>
    </w:tbl>
    <w:p w:rsidR="00261A16" w:rsidRPr="00737F6A" w:rsidRDefault="00261A16" w:rsidP="00737F6A"/>
    <w:sectPr w:rsidR="00261A16" w:rsidRPr="00737F6A" w:rsidSect="001A7F15">
      <w:headerReference w:type="default" r:id="rId11"/>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AE0" w:rsidRDefault="00B24AE0">
      <w:r>
        <w:separator/>
      </w:r>
    </w:p>
  </w:endnote>
  <w:endnote w:type="continuationSeparator" w:id="0">
    <w:p w:rsidR="00B24AE0" w:rsidRDefault="00B2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AE0" w:rsidRDefault="00B24AE0">
      <w:r>
        <w:separator/>
      </w:r>
    </w:p>
  </w:footnote>
  <w:footnote w:type="continuationSeparator" w:id="0">
    <w:p w:rsidR="00B24AE0" w:rsidRDefault="00B24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3D" w:rsidRPr="00B371CC" w:rsidRDefault="00CC3E3D" w:rsidP="00B371CC">
    <w:pPr>
      <w:pStyle w:val="Nagwek"/>
      <w:jc w:val="center"/>
    </w:pPr>
    <w:r>
      <w:t xml:space="preserve">– </w:t>
    </w:r>
    <w:r>
      <w:fldChar w:fldCharType="begin"/>
    </w:r>
    <w:r>
      <w:instrText xml:space="preserve"> PAGE  \* MERGEFORMAT </w:instrText>
    </w:r>
    <w:r>
      <w:fldChar w:fldCharType="separate"/>
    </w:r>
    <w:r w:rsidR="004F3F7A">
      <w:rPr>
        <w:noProof/>
      </w:rPr>
      <w:t>5</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948C76"/>
    <w:lvl w:ilvl="0">
      <w:start w:val="1"/>
      <w:numFmt w:val="decimal"/>
      <w:lvlText w:val="%1."/>
      <w:lvlJc w:val="left"/>
      <w:pPr>
        <w:tabs>
          <w:tab w:val="num" w:pos="1492"/>
        </w:tabs>
        <w:ind w:left="1492" w:hanging="360"/>
      </w:pPr>
    </w:lvl>
  </w:abstractNum>
  <w:abstractNum w:abstractNumId="1">
    <w:nsid w:val="FFFFFF7D"/>
    <w:multiLevelType w:val="singleLevel"/>
    <w:tmpl w:val="CCBCD792"/>
    <w:lvl w:ilvl="0">
      <w:start w:val="1"/>
      <w:numFmt w:val="decimal"/>
      <w:lvlText w:val="%1."/>
      <w:lvlJc w:val="left"/>
      <w:pPr>
        <w:tabs>
          <w:tab w:val="num" w:pos="1209"/>
        </w:tabs>
        <w:ind w:left="1209" w:hanging="360"/>
      </w:pPr>
    </w:lvl>
  </w:abstractNum>
  <w:abstractNum w:abstractNumId="2">
    <w:nsid w:val="FFFFFF7E"/>
    <w:multiLevelType w:val="singleLevel"/>
    <w:tmpl w:val="5AF618F0"/>
    <w:lvl w:ilvl="0">
      <w:start w:val="1"/>
      <w:numFmt w:val="decimal"/>
      <w:lvlText w:val="%1."/>
      <w:lvlJc w:val="left"/>
      <w:pPr>
        <w:tabs>
          <w:tab w:val="num" w:pos="926"/>
        </w:tabs>
        <w:ind w:left="926" w:hanging="360"/>
      </w:pPr>
    </w:lvl>
  </w:abstractNum>
  <w:abstractNum w:abstractNumId="3">
    <w:nsid w:val="FFFFFF7F"/>
    <w:multiLevelType w:val="singleLevel"/>
    <w:tmpl w:val="6F3CF332"/>
    <w:lvl w:ilvl="0">
      <w:start w:val="1"/>
      <w:numFmt w:val="decimal"/>
      <w:lvlText w:val="%1."/>
      <w:lvlJc w:val="left"/>
      <w:pPr>
        <w:tabs>
          <w:tab w:val="num" w:pos="643"/>
        </w:tabs>
        <w:ind w:left="643" w:hanging="360"/>
      </w:pPr>
    </w:lvl>
  </w:abstractNum>
  <w:abstractNum w:abstractNumId="4">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9ACF32"/>
    <w:lvl w:ilvl="0">
      <w:start w:val="1"/>
      <w:numFmt w:val="decimal"/>
      <w:lvlText w:val="%1."/>
      <w:lvlJc w:val="left"/>
      <w:pPr>
        <w:tabs>
          <w:tab w:val="num" w:pos="360"/>
        </w:tabs>
        <w:ind w:left="360" w:hanging="360"/>
      </w:pPr>
    </w:lvl>
  </w:abstractNum>
  <w:abstractNum w:abstractNumId="9">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618"/>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0951"/>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55C6E"/>
    <w:rsid w:val="003602AE"/>
    <w:rsid w:val="00360929"/>
    <w:rsid w:val="003647D5"/>
    <w:rsid w:val="003674B0"/>
    <w:rsid w:val="0037727C"/>
    <w:rsid w:val="00377E70"/>
    <w:rsid w:val="00380904"/>
    <w:rsid w:val="003823EE"/>
    <w:rsid w:val="00382960"/>
    <w:rsid w:val="003846F7"/>
    <w:rsid w:val="003851ED"/>
    <w:rsid w:val="00385B39"/>
    <w:rsid w:val="00386785"/>
    <w:rsid w:val="00390421"/>
    <w:rsid w:val="00390E89"/>
    <w:rsid w:val="00391B1A"/>
    <w:rsid w:val="00394423"/>
    <w:rsid w:val="00396942"/>
    <w:rsid w:val="00396B49"/>
    <w:rsid w:val="00396E3E"/>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274B4"/>
    <w:rsid w:val="00432B76"/>
    <w:rsid w:val="00434D01"/>
    <w:rsid w:val="00435D26"/>
    <w:rsid w:val="00440C99"/>
    <w:rsid w:val="0044175C"/>
    <w:rsid w:val="004455F9"/>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11CE"/>
    <w:rsid w:val="00482151"/>
    <w:rsid w:val="00485FAD"/>
    <w:rsid w:val="00487AED"/>
    <w:rsid w:val="00491EDF"/>
    <w:rsid w:val="00492A3F"/>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3F7A"/>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5937"/>
    <w:rsid w:val="00526DFC"/>
    <w:rsid w:val="00526F43"/>
    <w:rsid w:val="00527651"/>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2B21"/>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1FC4"/>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6F7F53"/>
    <w:rsid w:val="00701952"/>
    <w:rsid w:val="00702556"/>
    <w:rsid w:val="0070277E"/>
    <w:rsid w:val="00704156"/>
    <w:rsid w:val="007069FC"/>
    <w:rsid w:val="00711221"/>
    <w:rsid w:val="00712675"/>
    <w:rsid w:val="00713808"/>
    <w:rsid w:val="00714501"/>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2F3"/>
    <w:rsid w:val="0076260A"/>
    <w:rsid w:val="00764A67"/>
    <w:rsid w:val="00770F6B"/>
    <w:rsid w:val="00771883"/>
    <w:rsid w:val="00776DC2"/>
    <w:rsid w:val="00780122"/>
    <w:rsid w:val="0078214B"/>
    <w:rsid w:val="0078498A"/>
    <w:rsid w:val="007878FE"/>
    <w:rsid w:val="00792207"/>
    <w:rsid w:val="00792B64"/>
    <w:rsid w:val="00792E29"/>
    <w:rsid w:val="0079379A"/>
    <w:rsid w:val="00793DC7"/>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0618"/>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4A7F"/>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24C2"/>
    <w:rsid w:val="00B07700"/>
    <w:rsid w:val="00B13921"/>
    <w:rsid w:val="00B1528C"/>
    <w:rsid w:val="00B16ACD"/>
    <w:rsid w:val="00B21487"/>
    <w:rsid w:val="00B232D1"/>
    <w:rsid w:val="00B24AE0"/>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3548"/>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345C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553"/>
    <w:rsid w:val="00ED5E36"/>
    <w:rsid w:val="00ED6961"/>
    <w:rsid w:val="00EE47A8"/>
    <w:rsid w:val="00EF0B96"/>
    <w:rsid w:val="00EF3486"/>
    <w:rsid w:val="00EF3AEE"/>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C0A"/>
    <w:rsid w:val="00F9415B"/>
    <w:rsid w:val="00FA13C2"/>
    <w:rsid w:val="00FA7F91"/>
    <w:rsid w:val="00FB121C"/>
    <w:rsid w:val="00FB1CDD"/>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8061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qFormat="1"/>
    <w:lsdException w:name="annotation text" w:locked="0" w:uiPriority="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uiPriority="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unhideWhenUsed="0"/>
    <w:lsdException w:name="List 2" w:locked="0"/>
    <w:lsdException w:name="List 3" w:locked="0"/>
    <w:lsdException w:name="List 4" w:locked="0" w:unhideWhenUsed="0"/>
    <w:lsdException w:name="List 5" w:locked="0" w:unhideWhenUs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unhideWhenUsed="0"/>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unhideWhenUsed="0"/>
    <w:lsdException w:name="Salutation" w:locked="0" w:unhideWhenUsed="0"/>
    <w:lsdException w:name="Date" w:locked="0" w:unhideWhenUsed="0"/>
    <w:lsdException w:name="Body Text First Indent" w:locked="0" w:unhideWhenUs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unhideWhenUsed="0" w:qFormat="1"/>
    <w:lsdException w:name="Emphasis" w:locked="0" w:unhideWhenUsed="0"/>
    <w:lsdException w:name="Document Map" w:locked="0"/>
    <w:lsdException w:name="Plain Text" w:locked="0"/>
    <w:lsdException w:name="E-mail Signature" w:locked="0"/>
    <w:lsdException w:name="HTML Top of Form" w:locked="0" w:uiPriority="0"/>
    <w:lsdException w:name="HTML Bottom of Form" w:locked="0" w:uiPriority="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0" w:uiPriority="0" w:unhideWhenUsed="0"/>
    <w:lsdException w:name="annotation subject" w:locked="0" w:uiPriority="0"/>
    <w:lsdException w:name="No List" w:locked="0"/>
    <w:lsdException w:name="Outline List 1" w:uiPriority="0"/>
    <w:lsdException w:name="Outline List 2" w:uiPriority="0"/>
    <w:lsdException w:name="Outline List 3" w:locked="0"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Balloon Text" w:locked="0"/>
    <w:lsdException w:name="Table Grid" w:semiHidden="0" w:uiPriority="0" w:unhideWhenUsed="0"/>
    <w:lsdException w:name="Table Theme" w:uiPriority="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unhideWhenUsed="0"/>
    <w:lsdException w:name="Quote" w:locked="0" w:unhideWhenUsed="0" w:qFormat="1"/>
    <w:lsdException w:name="Intense Quote" w:locked="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nhideWhenUsed="0"/>
    <w:lsdException w:name="Intense Emphasis" w:locked="0" w:unhideWhenUsed="0"/>
    <w:lsdException w:name="Subtle Reference" w:locked="0" w:unhideWhenUsed="0"/>
    <w:lsdException w:name="Intense Reference" w:locked="0" w:unhideWhenUsed="0"/>
    <w:lsdException w:name="Book Title" w:locked="0" w:unhideWhenUsed="0"/>
    <w:lsdException w:name="Bibliography" w:locked="0"/>
    <w:lsdException w:name="TOC Heading" w:locked="0" w:qFormat="1"/>
  </w:latentStyles>
  <w:style w:type="paragraph" w:default="1" w:styleId="Normalny">
    <w:name w:val="Normal"/>
    <w:qFormat/>
    <w:rsid w:val="0088061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ip.legalis.pl/document-view.seam?documentId=mfrxilrtgy3damjvha2daltqmfyc4mzwgi4tomzwga"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lakowska\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03B63F-D220-4492-9123-35E1129A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0</TotalTime>
  <Pages>5</Pages>
  <Words>1266</Words>
  <Characters>7602</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8851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Klimek Ewa</dc:creator>
  <cp:lastModifiedBy>User</cp:lastModifiedBy>
  <cp:revision>2</cp:revision>
  <cp:lastPrinted>2018-05-25T10:00:00Z</cp:lastPrinted>
  <dcterms:created xsi:type="dcterms:W3CDTF">2018-05-25T10:00:00Z</dcterms:created>
  <dcterms:modified xsi:type="dcterms:W3CDTF">2018-05-25T10:00:00Z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