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4204" w14:textId="77777777" w:rsidR="00A53DF0" w:rsidRPr="0054347C" w:rsidRDefault="008B7F27" w:rsidP="00E60673">
      <w:pPr>
        <w:jc w:val="center"/>
        <w:rPr>
          <w:b/>
          <w:bCs/>
          <w:sz w:val="32"/>
          <w:szCs w:val="32"/>
        </w:rPr>
      </w:pPr>
      <w:r w:rsidRPr="0054347C">
        <w:rPr>
          <w:b/>
          <w:bCs/>
          <w:sz w:val="32"/>
          <w:szCs w:val="32"/>
        </w:rPr>
        <w:t xml:space="preserve">Stanowisko konsultantów krajowych: </w:t>
      </w:r>
    </w:p>
    <w:p w14:paraId="05546548" w14:textId="77777777" w:rsidR="0054347C" w:rsidRDefault="00A53DF0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 xml:space="preserve">medycyny rodzinnej, </w:t>
      </w:r>
      <w:r w:rsidR="008B7F27" w:rsidRPr="0054347C">
        <w:rPr>
          <w:b/>
          <w:bCs/>
          <w:sz w:val="28"/>
          <w:szCs w:val="28"/>
        </w:rPr>
        <w:t>chorób zakaźnych</w:t>
      </w:r>
      <w:r w:rsidRPr="0054347C">
        <w:rPr>
          <w:b/>
          <w:bCs/>
          <w:sz w:val="28"/>
          <w:szCs w:val="28"/>
        </w:rPr>
        <w:t xml:space="preserve"> </w:t>
      </w:r>
    </w:p>
    <w:p w14:paraId="001EB299" w14:textId="380079FB" w:rsidR="008B7F27" w:rsidRPr="0054347C" w:rsidRDefault="00A53DF0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>oraz</w:t>
      </w:r>
      <w:r w:rsidR="008B7F27" w:rsidRPr="0054347C">
        <w:rPr>
          <w:b/>
          <w:bCs/>
          <w:sz w:val="28"/>
          <w:szCs w:val="28"/>
        </w:rPr>
        <w:t xml:space="preserve"> anestezjologii i intensywnej terapii </w:t>
      </w:r>
    </w:p>
    <w:p w14:paraId="7792ED93" w14:textId="6A6DD963" w:rsidR="008B7F27" w:rsidRPr="0054347C" w:rsidRDefault="008B7F27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>we współpracy z Radą Medyczną przy Premierze RP</w:t>
      </w:r>
    </w:p>
    <w:p w14:paraId="1339985D" w14:textId="78A9CA37" w:rsidR="0054347C" w:rsidRPr="0054347C" w:rsidRDefault="0054347C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>z dnia 01.02.2021</w:t>
      </w:r>
    </w:p>
    <w:p w14:paraId="5E798BE9" w14:textId="77777777" w:rsidR="00E60673" w:rsidRPr="0054347C" w:rsidRDefault="00E60673" w:rsidP="00E60673">
      <w:pPr>
        <w:jc w:val="center"/>
        <w:rPr>
          <w:b/>
          <w:bCs/>
        </w:rPr>
      </w:pPr>
    </w:p>
    <w:p w14:paraId="30AA3D34" w14:textId="77777777" w:rsidR="00E60673" w:rsidRPr="0054347C" w:rsidRDefault="00E60673" w:rsidP="00E60673">
      <w:pPr>
        <w:jc w:val="center"/>
        <w:rPr>
          <w:b/>
          <w:bCs/>
        </w:rPr>
      </w:pPr>
    </w:p>
    <w:p w14:paraId="73883FFB" w14:textId="24BF8BCE" w:rsidR="004912EE" w:rsidRPr="0054347C" w:rsidRDefault="004912EE" w:rsidP="00E60673">
      <w:pPr>
        <w:jc w:val="center"/>
        <w:rPr>
          <w:b/>
          <w:bCs/>
          <w:sz w:val="32"/>
          <w:szCs w:val="32"/>
        </w:rPr>
      </w:pPr>
      <w:r w:rsidRPr="0054347C">
        <w:rPr>
          <w:b/>
          <w:bCs/>
          <w:sz w:val="32"/>
          <w:szCs w:val="32"/>
        </w:rPr>
        <w:t xml:space="preserve">Zalecenia dotyczące postępowania u </w:t>
      </w:r>
      <w:r w:rsidR="00465E40" w:rsidRPr="0054347C">
        <w:rPr>
          <w:b/>
          <w:bCs/>
          <w:sz w:val="32"/>
          <w:szCs w:val="32"/>
        </w:rPr>
        <w:t>osób</w:t>
      </w:r>
      <w:r w:rsidRPr="0054347C">
        <w:rPr>
          <w:b/>
          <w:bCs/>
          <w:sz w:val="32"/>
          <w:szCs w:val="32"/>
        </w:rPr>
        <w:t xml:space="preserve"> z chorobą COVID-19 </w:t>
      </w:r>
      <w:r w:rsidR="00F9520F" w:rsidRPr="0054347C">
        <w:rPr>
          <w:b/>
          <w:bCs/>
          <w:sz w:val="32"/>
          <w:szCs w:val="32"/>
        </w:rPr>
        <w:br/>
      </w:r>
      <w:r w:rsidRPr="0054347C">
        <w:rPr>
          <w:b/>
          <w:bCs/>
          <w:sz w:val="32"/>
          <w:szCs w:val="32"/>
        </w:rPr>
        <w:t>leczonych w domu</w:t>
      </w:r>
    </w:p>
    <w:p w14:paraId="4D0B675C" w14:textId="7D2E242D" w:rsidR="004912EE" w:rsidRPr="0054347C" w:rsidRDefault="004912EE" w:rsidP="004912EE"/>
    <w:p w14:paraId="6E2EDED6" w14:textId="77777777" w:rsidR="004E6C44" w:rsidRPr="0054347C" w:rsidRDefault="004E6C44" w:rsidP="004912EE"/>
    <w:p w14:paraId="325D813C" w14:textId="00F8A569" w:rsidR="00F57567" w:rsidRPr="0054347C" w:rsidRDefault="00F57567" w:rsidP="004912EE"/>
    <w:p w14:paraId="2DA01D61" w14:textId="78BA51D9" w:rsidR="00794EC7" w:rsidRPr="0054347C" w:rsidRDefault="00794EC7" w:rsidP="004912EE">
      <w:pPr>
        <w:rPr>
          <w:b/>
          <w:bCs/>
        </w:rPr>
      </w:pPr>
      <w:r w:rsidRPr="0054347C">
        <w:rPr>
          <w:b/>
          <w:bCs/>
        </w:rPr>
        <w:t>Podsumowanie zaleceń</w:t>
      </w:r>
    </w:p>
    <w:p w14:paraId="6929A281" w14:textId="64069746" w:rsidR="003C35A9" w:rsidRPr="0054347C" w:rsidRDefault="00794EC7" w:rsidP="004E6C44">
      <w:pPr>
        <w:ind w:firstLine="360"/>
        <w:jc w:val="both"/>
      </w:pPr>
      <w:r w:rsidRPr="0054347C">
        <w:t>Pacjent leczony z powodu COVID-19 w warunkach domowych</w:t>
      </w:r>
      <w:r w:rsidR="003C35A9" w:rsidRPr="0054347C">
        <w:t>, zwłaszcza z czynnikami ryzyka ciężkiego przebiegu choroby,</w:t>
      </w:r>
      <w:r w:rsidRPr="0054347C">
        <w:t xml:space="preserve"> wymaga stałego </w:t>
      </w:r>
      <w:r w:rsidR="003C35A9" w:rsidRPr="0054347C">
        <w:t xml:space="preserve">monitorowania z uwagi na ryzyko nagłego pogorszenia stanu zdrowia. Leczenie stosowane w łagodnym przebiegu sprowadza się do stosowania leków objawowych, jak w innych ostrych infekcjach wirusowych dróg </w:t>
      </w:r>
      <w:r w:rsidR="004E6C44" w:rsidRPr="0054347C">
        <w:t>oddechowych. W sytuacji pogorszenia przebiegu choroby, pacjent powinien jak najszybciej trafić do szpitala, gdzie ma szansę na uzyskanie skutecznego leczenia. Nie należy opóźniać kierowania pacjenta do leczenia szpitalnego.</w:t>
      </w:r>
    </w:p>
    <w:p w14:paraId="6BE64D3E" w14:textId="77777777" w:rsidR="004E6C44" w:rsidRPr="0054347C" w:rsidRDefault="004E6C44" w:rsidP="004E6C44">
      <w:pPr>
        <w:ind w:firstLine="360"/>
        <w:jc w:val="both"/>
      </w:pPr>
    </w:p>
    <w:p w14:paraId="498912E8" w14:textId="77777777" w:rsidR="004912EE" w:rsidRPr="0054347C" w:rsidRDefault="004912EE" w:rsidP="004912EE"/>
    <w:p w14:paraId="0AB3477C" w14:textId="75AE5AF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stosowania </w:t>
      </w:r>
      <w:proofErr w:type="spellStart"/>
      <w:r w:rsidRPr="0054347C">
        <w:rPr>
          <w:b/>
          <w:bCs/>
        </w:rPr>
        <w:t>deksametazonu</w:t>
      </w:r>
      <w:proofErr w:type="spellEnd"/>
      <w:r w:rsidRPr="0054347C">
        <w:rPr>
          <w:b/>
          <w:bCs/>
        </w:rPr>
        <w:t xml:space="preserve"> u chorych na COVID-19 leczonych w domu.</w:t>
      </w:r>
    </w:p>
    <w:p w14:paraId="171CF464" w14:textId="0889E4B2" w:rsidR="008B7F27" w:rsidRPr="0054347C" w:rsidRDefault="004912EE" w:rsidP="008B7F27">
      <w:pPr>
        <w:ind w:left="360"/>
        <w:jc w:val="both"/>
      </w:pPr>
      <w:r w:rsidRPr="0054347C">
        <w:t xml:space="preserve">Wyniki badań klinicznych, w tym przede wszystkim badania RECOVERY oraz oparte na nich wytyczne </w:t>
      </w:r>
      <w:proofErr w:type="spellStart"/>
      <w:r w:rsidRPr="0054347C">
        <w:t>AOTMiT</w:t>
      </w:r>
      <w:proofErr w:type="spellEnd"/>
      <w:r w:rsidRPr="0054347C">
        <w:t xml:space="preserve"> wskazują na korzyść ze stosowania </w:t>
      </w:r>
      <w:proofErr w:type="spellStart"/>
      <w:r w:rsidRPr="0054347C">
        <w:t>deksametazonu</w:t>
      </w:r>
      <w:proofErr w:type="spellEnd"/>
      <w:r w:rsidRPr="0054347C">
        <w:t xml:space="preserve"> w dawce 6 mg dziennie u </w:t>
      </w:r>
      <w:r w:rsidR="00663160" w:rsidRPr="0054347C">
        <w:t xml:space="preserve">hospitalizowanych </w:t>
      </w:r>
      <w:r w:rsidRPr="0054347C">
        <w:t xml:space="preserve">pacjentów z COVID-19 wymagających tlenoterapii lub mechanicznej wentylacji płuc. </w:t>
      </w:r>
    </w:p>
    <w:p w14:paraId="1ACA1147" w14:textId="7B784001" w:rsidR="004912EE" w:rsidRPr="0054347C" w:rsidRDefault="008B7F27" w:rsidP="008B7F27">
      <w:pPr>
        <w:ind w:left="360"/>
        <w:jc w:val="both"/>
      </w:pPr>
      <w:r w:rsidRPr="0054347C">
        <w:t>U</w:t>
      </w:r>
      <w:r w:rsidR="004912EE" w:rsidRPr="0054347C">
        <w:t xml:space="preserve"> chorych na COVID-19 niewymagających tlenoterapii</w:t>
      </w:r>
      <w:r w:rsidRPr="0054347C">
        <w:t>,</w:t>
      </w:r>
      <w:r w:rsidR="004912EE" w:rsidRPr="0054347C">
        <w:t xml:space="preserve"> ani mechanicznej wentylacji płuc stosowanie </w:t>
      </w:r>
      <w:proofErr w:type="spellStart"/>
      <w:r w:rsidR="00F9520F" w:rsidRPr="0054347C">
        <w:t>gliko</w:t>
      </w:r>
      <w:r w:rsidR="004912EE" w:rsidRPr="0054347C">
        <w:t>kortykosteroidów</w:t>
      </w:r>
      <w:proofErr w:type="spellEnd"/>
      <w:r w:rsidR="004912EE" w:rsidRPr="0054347C">
        <w:t xml:space="preserve"> zwiększa ryzyko zgonu.</w:t>
      </w:r>
    </w:p>
    <w:p w14:paraId="5505913B" w14:textId="77777777" w:rsidR="004912EE" w:rsidRPr="0054347C" w:rsidRDefault="004912EE" w:rsidP="008B7F27">
      <w:pPr>
        <w:jc w:val="both"/>
      </w:pPr>
    </w:p>
    <w:p w14:paraId="2899B183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stosowania tlenoterapii domowej w ostrej fazie choroby w związku z ryzykiem gwałtownego pogorszenia zagrażającego życiu. Konieczność stosowania tlenoterapii w leczeniu COVID-19 stanowi bezwzględne wskazanie do hospitalizacji. </w:t>
      </w:r>
    </w:p>
    <w:p w14:paraId="64ABA9B0" w14:textId="24A93AFF" w:rsidR="001D3280" w:rsidRDefault="001D3280" w:rsidP="001D3280">
      <w:pPr>
        <w:ind w:left="360"/>
        <w:jc w:val="both"/>
      </w:pPr>
      <w:r w:rsidRPr="0054347C">
        <w:t>Pacjent z chorobą COVID-19, u którego pojawia się niewydolność oddechowa wymagająca stosowania tlenoterapii, wymaga niezwłocznego leczenia w warunkach szpitalnych. Tlenoterapia domowa jest powszechnie stosowana w leczeniu pacjentów z przewlekłą niewydolnością oddechową, lecz nie może być stosowana w leczeniu ostrej niewydolności oddechowej. Pojawienie się ostrej niewydolności oddechowej świadczy o postępie choroby i groźbie bardzo szybkiego pogorszenia, mogącego prowadzić do bezpośredniego zagrożenia życia. Dodatkowo, zastosowanie tlenoterapii w domu może spowodować opóźnienie w dotarciu pacjenta do szpitala, przez co pacjent traci szansę na otrzymanie leczenia wymagającego zastosowania w pierwszych dobach choroby COVID-19 o ciężkim przebiegu (5-8 dni od wystąpienia objawów).</w:t>
      </w:r>
    </w:p>
    <w:p w14:paraId="0B490482" w14:textId="77777777" w:rsidR="001D3280" w:rsidRPr="001D3280" w:rsidRDefault="001D3280" w:rsidP="001D3280">
      <w:pPr>
        <w:ind w:left="360"/>
        <w:jc w:val="both"/>
      </w:pPr>
    </w:p>
    <w:p w14:paraId="37E0E723" w14:textId="66F51ECE" w:rsidR="004912EE" w:rsidRPr="0054347C" w:rsidRDefault="001D3280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N</w:t>
      </w:r>
      <w:r w:rsidRPr="0054347C">
        <w:rPr>
          <w:b/>
          <w:bCs/>
        </w:rPr>
        <w:t xml:space="preserve">ie zaleca się stosowania </w:t>
      </w:r>
      <w:proofErr w:type="spellStart"/>
      <w:r w:rsidR="008B7F27" w:rsidRPr="0054347C">
        <w:rPr>
          <w:b/>
          <w:bCs/>
        </w:rPr>
        <w:t>glikokortykosteroidów</w:t>
      </w:r>
      <w:proofErr w:type="spellEnd"/>
      <w:r w:rsidR="004912EE" w:rsidRPr="0054347C">
        <w:rPr>
          <w:b/>
          <w:bCs/>
        </w:rPr>
        <w:t xml:space="preserve"> wziewnych w leczeniu COVID-19 </w:t>
      </w:r>
      <w:r>
        <w:rPr>
          <w:b/>
          <w:bCs/>
        </w:rPr>
        <w:t>- b</w:t>
      </w:r>
      <w:r w:rsidRPr="0054347C">
        <w:rPr>
          <w:b/>
          <w:bCs/>
        </w:rPr>
        <w:t>rak danych dotyczących skuteczności</w:t>
      </w:r>
      <w:r w:rsidR="004912EE" w:rsidRPr="0054347C">
        <w:rPr>
          <w:b/>
          <w:bCs/>
        </w:rPr>
        <w:t>.</w:t>
      </w:r>
    </w:p>
    <w:p w14:paraId="4A0FEC07" w14:textId="77777777" w:rsidR="004912EE" w:rsidRPr="0054347C" w:rsidRDefault="004912EE" w:rsidP="008B7F27">
      <w:pPr>
        <w:ind w:left="360"/>
        <w:jc w:val="both"/>
      </w:pPr>
      <w:r w:rsidRPr="0054347C">
        <w:t xml:space="preserve">Brak danych dotyczących stosowania GKS wziewnych u pacjentów z COVID-19 uzasadniających takie leczenie. W takiej sytuacji </w:t>
      </w:r>
      <w:proofErr w:type="spellStart"/>
      <w:r w:rsidRPr="0054347C">
        <w:t>AOTMiT</w:t>
      </w:r>
      <w:proofErr w:type="spellEnd"/>
      <w:r w:rsidRPr="0054347C">
        <w:t xml:space="preserve"> nie wydał zalecenia w tej sprawie.</w:t>
      </w:r>
    </w:p>
    <w:p w14:paraId="5FDE98DD" w14:textId="77777777" w:rsidR="004912EE" w:rsidRPr="0054347C" w:rsidRDefault="004912EE" w:rsidP="008B7F27">
      <w:pPr>
        <w:jc w:val="both"/>
      </w:pPr>
    </w:p>
    <w:p w14:paraId="55B3DDB4" w14:textId="7E32AF2B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Nie zaleca się stosowania w leczeniu COVID-19 leków o potencjalnym działaniu przeciwwirusowym charakteryzujących się wątpliwą skutecznością lub o dowiedzionej nieskuteczności</w:t>
      </w:r>
      <w:r w:rsidR="00F9520F" w:rsidRPr="0054347C">
        <w:rPr>
          <w:b/>
          <w:bCs/>
        </w:rPr>
        <w:t>,</w:t>
      </w:r>
      <w:r w:rsidRPr="0054347C">
        <w:rPr>
          <w:b/>
          <w:bCs/>
        </w:rPr>
        <w:t xml:space="preserve"> w tym: </w:t>
      </w:r>
      <w:r w:rsidR="00CA1380" w:rsidRPr="0054347C">
        <w:rPr>
          <w:b/>
          <w:bCs/>
        </w:rPr>
        <w:t xml:space="preserve">amantadyny, </w:t>
      </w:r>
      <w:proofErr w:type="spellStart"/>
      <w:r w:rsidRPr="0054347C">
        <w:rPr>
          <w:b/>
          <w:bCs/>
        </w:rPr>
        <w:t>chlorochiny</w:t>
      </w:r>
      <w:proofErr w:type="spellEnd"/>
      <w:r w:rsidRPr="0054347C">
        <w:rPr>
          <w:b/>
          <w:bCs/>
        </w:rPr>
        <w:t>,</w:t>
      </w:r>
      <w:r w:rsidR="00663160" w:rsidRPr="0054347C">
        <w:rPr>
          <w:b/>
          <w:bCs/>
        </w:rPr>
        <w:t xml:space="preserve"> </w:t>
      </w:r>
      <w:proofErr w:type="spellStart"/>
      <w:r w:rsidR="00663160" w:rsidRPr="0054347C">
        <w:rPr>
          <w:b/>
          <w:bCs/>
        </w:rPr>
        <w:t>hydrochlorochiny</w:t>
      </w:r>
      <w:proofErr w:type="spellEnd"/>
      <w:r w:rsidR="00663160" w:rsidRPr="0054347C">
        <w:rPr>
          <w:b/>
          <w:bCs/>
        </w:rPr>
        <w:t>,</w:t>
      </w:r>
      <w:r w:rsidRPr="0054347C">
        <w:rPr>
          <w:b/>
          <w:bCs/>
        </w:rPr>
        <w:t xml:space="preserve"> </w:t>
      </w:r>
      <w:proofErr w:type="spellStart"/>
      <w:r w:rsidRPr="0054347C">
        <w:rPr>
          <w:b/>
          <w:bCs/>
        </w:rPr>
        <w:t>lopinawiru</w:t>
      </w:r>
      <w:proofErr w:type="spellEnd"/>
      <w:r w:rsidRPr="0054347C">
        <w:rPr>
          <w:b/>
          <w:bCs/>
        </w:rPr>
        <w:t xml:space="preserve"> z </w:t>
      </w:r>
      <w:proofErr w:type="spellStart"/>
      <w:r w:rsidRPr="0054347C">
        <w:rPr>
          <w:b/>
          <w:bCs/>
        </w:rPr>
        <w:t>rytonawirem</w:t>
      </w:r>
      <w:proofErr w:type="spellEnd"/>
      <w:r w:rsidRPr="0054347C">
        <w:rPr>
          <w:b/>
          <w:bCs/>
        </w:rPr>
        <w:t xml:space="preserve">, </w:t>
      </w:r>
      <w:proofErr w:type="spellStart"/>
      <w:r w:rsidRPr="0054347C">
        <w:rPr>
          <w:b/>
          <w:bCs/>
        </w:rPr>
        <w:t>azytromycyny</w:t>
      </w:r>
      <w:proofErr w:type="spellEnd"/>
      <w:r w:rsidRPr="0054347C">
        <w:rPr>
          <w:b/>
          <w:bCs/>
        </w:rPr>
        <w:t>.</w:t>
      </w:r>
    </w:p>
    <w:p w14:paraId="704D2DE9" w14:textId="77777777" w:rsidR="004912EE" w:rsidRPr="0054347C" w:rsidRDefault="004912EE" w:rsidP="008B7F27">
      <w:pPr>
        <w:ind w:left="360"/>
        <w:jc w:val="both"/>
      </w:pPr>
      <w:r w:rsidRPr="0054347C">
        <w:t xml:space="preserve">Znaczne ilości danych z badań klinicznych, w tym największych – SOLIDARITY, RECOVERY i REMAP-CAP wskazują na brak korzyści ze stosowania </w:t>
      </w:r>
      <w:proofErr w:type="spellStart"/>
      <w:r w:rsidRPr="0054347C">
        <w:t>chlorochiny</w:t>
      </w:r>
      <w:proofErr w:type="spellEnd"/>
      <w:r w:rsidRPr="0054347C">
        <w:t xml:space="preserve">, </w:t>
      </w:r>
      <w:proofErr w:type="spellStart"/>
      <w:r w:rsidRPr="0054347C">
        <w:t>hydroksychlorochiny</w:t>
      </w:r>
      <w:proofErr w:type="spellEnd"/>
      <w:r w:rsidRPr="0054347C">
        <w:t xml:space="preserve">, </w:t>
      </w:r>
      <w:proofErr w:type="spellStart"/>
      <w:r w:rsidRPr="0054347C">
        <w:t>azytromycyny</w:t>
      </w:r>
      <w:proofErr w:type="spellEnd"/>
      <w:r w:rsidRPr="0054347C">
        <w:t xml:space="preserve"> i </w:t>
      </w:r>
      <w:proofErr w:type="spellStart"/>
      <w:r w:rsidRPr="0054347C">
        <w:t>lopinawiru</w:t>
      </w:r>
      <w:proofErr w:type="spellEnd"/>
      <w:r w:rsidRPr="0054347C">
        <w:t xml:space="preserve"> z </w:t>
      </w:r>
      <w:proofErr w:type="spellStart"/>
      <w:r w:rsidRPr="0054347C">
        <w:t>rytonawirem</w:t>
      </w:r>
      <w:proofErr w:type="spellEnd"/>
      <w:r w:rsidRPr="0054347C">
        <w:t xml:space="preserve"> u chorych na COVID-19.</w:t>
      </w:r>
    </w:p>
    <w:p w14:paraId="5BE73695" w14:textId="3EC2198D" w:rsidR="004912EE" w:rsidRPr="0054347C" w:rsidRDefault="00663160" w:rsidP="008B7F27">
      <w:pPr>
        <w:ind w:left="360"/>
        <w:jc w:val="both"/>
      </w:pPr>
      <w:r w:rsidRPr="0054347C">
        <w:t>Opublikowane wyniki badań nie uzasadniają</w:t>
      </w:r>
      <w:r w:rsidR="004912EE" w:rsidRPr="0054347C">
        <w:t xml:space="preserve"> </w:t>
      </w:r>
      <w:r w:rsidRPr="0054347C">
        <w:t xml:space="preserve">stosowania </w:t>
      </w:r>
      <w:r w:rsidR="004912EE" w:rsidRPr="0054347C">
        <w:t xml:space="preserve">amantadyny u chorych na COVID-19. </w:t>
      </w:r>
    </w:p>
    <w:p w14:paraId="5025E48B" w14:textId="77777777" w:rsidR="004912EE" w:rsidRPr="0054347C" w:rsidRDefault="004912EE" w:rsidP="008B7F27">
      <w:pPr>
        <w:jc w:val="both"/>
      </w:pPr>
    </w:p>
    <w:p w14:paraId="5B5232D7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włączania leków przeciwpłytkowych, ani przeciwzakrzepowych w leczeniu COVID-19 u chorych przebywających w domu, o ile nie pojawią się wskazania inne niż zakażenie </w:t>
      </w:r>
      <w:proofErr w:type="spellStart"/>
      <w:r w:rsidRPr="0054347C">
        <w:rPr>
          <w:b/>
          <w:bCs/>
        </w:rPr>
        <w:t>koronawirusem</w:t>
      </w:r>
      <w:proofErr w:type="spellEnd"/>
      <w:r w:rsidRPr="0054347C">
        <w:rPr>
          <w:b/>
          <w:bCs/>
        </w:rPr>
        <w:t>.</w:t>
      </w:r>
    </w:p>
    <w:p w14:paraId="7B753E57" w14:textId="77777777" w:rsidR="001D3280" w:rsidRPr="0054347C" w:rsidRDefault="001D3280" w:rsidP="001D3280">
      <w:pPr>
        <w:ind w:left="360"/>
        <w:jc w:val="both"/>
      </w:pPr>
      <w:r w:rsidRPr="0054347C">
        <w:t>Wyniki wstępnych badań wskazują na zmniejszenie ryzyka postępu choroby u pacjentów z COVID-19, leczonych przewlekle kwasem acetylosalicylowym. Natomiast brak dotychczas danych dotyczących skuteczności stosowania kwasu acetylosalicylowego i innych leków przeciwpłytkowych włączanych w chwili rozpoznania COVID-19.</w:t>
      </w:r>
    </w:p>
    <w:p w14:paraId="5BE58072" w14:textId="77777777" w:rsidR="001D3280" w:rsidRPr="0054347C" w:rsidRDefault="001D3280" w:rsidP="001D3280">
      <w:pPr>
        <w:jc w:val="both"/>
      </w:pPr>
    </w:p>
    <w:p w14:paraId="0E7D8489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stosowania innych leków, w tym inhibitorów ACE i </w:t>
      </w:r>
      <w:proofErr w:type="spellStart"/>
      <w:r w:rsidRPr="0054347C">
        <w:rPr>
          <w:b/>
          <w:bCs/>
        </w:rPr>
        <w:t>statyn</w:t>
      </w:r>
      <w:proofErr w:type="spellEnd"/>
      <w:r w:rsidRPr="0054347C">
        <w:rPr>
          <w:b/>
          <w:bCs/>
        </w:rPr>
        <w:t xml:space="preserve"> w leczeniu choroby COVID-19.</w:t>
      </w:r>
    </w:p>
    <w:p w14:paraId="00523D90" w14:textId="6E105CDB" w:rsidR="001D3280" w:rsidRDefault="001D3280" w:rsidP="001D3280">
      <w:pPr>
        <w:ind w:left="360"/>
        <w:jc w:val="both"/>
      </w:pPr>
      <w:r w:rsidRPr="0054347C">
        <w:t xml:space="preserve">Brak danych uzasadniających stosowanie innych grup leków u chorych z COVID-19, poza badaniami naukowymi prowadzonymi za zgodą komisji bioetycznej. </w:t>
      </w:r>
    </w:p>
    <w:p w14:paraId="04C72976" w14:textId="77777777" w:rsidR="001D3280" w:rsidRPr="0054347C" w:rsidRDefault="001D3280" w:rsidP="001D3280">
      <w:pPr>
        <w:ind w:left="360"/>
        <w:jc w:val="both"/>
      </w:pPr>
    </w:p>
    <w:p w14:paraId="7B5776BA" w14:textId="7CA6169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Zaleca się kontynuowanie bez zmian dotychczasowego leczenia farmakologicznego, w tym: </w:t>
      </w:r>
      <w:proofErr w:type="spellStart"/>
      <w:r w:rsidR="00F9520F" w:rsidRPr="0054347C">
        <w:rPr>
          <w:b/>
          <w:bCs/>
        </w:rPr>
        <w:t>gliko</w:t>
      </w:r>
      <w:r w:rsidRPr="0054347C">
        <w:rPr>
          <w:b/>
          <w:bCs/>
        </w:rPr>
        <w:t>kortykosteroidów</w:t>
      </w:r>
      <w:proofErr w:type="spellEnd"/>
      <w:r w:rsidRPr="0054347C">
        <w:rPr>
          <w:b/>
          <w:bCs/>
        </w:rPr>
        <w:t xml:space="preserve"> </w:t>
      </w:r>
      <w:r w:rsidR="0020204D" w:rsidRPr="0054347C">
        <w:rPr>
          <w:b/>
          <w:bCs/>
        </w:rPr>
        <w:t xml:space="preserve">– także wziewnych - </w:t>
      </w:r>
      <w:r w:rsidRPr="0054347C">
        <w:rPr>
          <w:b/>
          <w:bCs/>
        </w:rPr>
        <w:t xml:space="preserve">ze wskazań innych niż COVID-19, niesteroidowych leków przeciwzapalnych, leków </w:t>
      </w:r>
      <w:proofErr w:type="spellStart"/>
      <w:r w:rsidRPr="0054347C">
        <w:rPr>
          <w:b/>
          <w:bCs/>
        </w:rPr>
        <w:t>przeciwnadciśnieniowych</w:t>
      </w:r>
      <w:proofErr w:type="spellEnd"/>
      <w:r w:rsidRPr="0054347C">
        <w:rPr>
          <w:b/>
          <w:bCs/>
        </w:rPr>
        <w:t xml:space="preserve"> (w tym inhibitory ACE), </w:t>
      </w:r>
      <w:proofErr w:type="spellStart"/>
      <w:r w:rsidRPr="0054347C">
        <w:rPr>
          <w:b/>
          <w:bCs/>
        </w:rPr>
        <w:t>statyn</w:t>
      </w:r>
      <w:proofErr w:type="spellEnd"/>
      <w:r w:rsidRPr="0054347C">
        <w:rPr>
          <w:b/>
          <w:bCs/>
        </w:rPr>
        <w:t>, leków przeciwpłytkowych i przeciwzakrzepowych.</w:t>
      </w:r>
    </w:p>
    <w:p w14:paraId="6572B9F3" w14:textId="77777777" w:rsidR="004912EE" w:rsidRPr="0054347C" w:rsidRDefault="004912EE" w:rsidP="008B7F27">
      <w:pPr>
        <w:ind w:left="360"/>
        <w:jc w:val="both"/>
      </w:pPr>
      <w:r w:rsidRPr="0054347C">
        <w:t>Nie wykazano zwiększenia ryzyka zgonu związanego z leczeniem częstych chorób przewlekłych. Dlatego zaleca się kontynuację stałego leczenia tych schorzeń.</w:t>
      </w:r>
    </w:p>
    <w:p w14:paraId="2FB9A2EA" w14:textId="77777777" w:rsidR="004912EE" w:rsidRPr="0054347C" w:rsidRDefault="004912EE" w:rsidP="008B7F27">
      <w:pPr>
        <w:jc w:val="both"/>
      </w:pPr>
    </w:p>
    <w:p w14:paraId="55B2D6A5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stosowanie leków przeciwgorączkowych (najskuteczniejsze są niesteroidowe leki przeciwzapalne lub paracetamol) w przypadku gorączki &gt;38,5 st. C.</w:t>
      </w:r>
    </w:p>
    <w:p w14:paraId="48E15F44" w14:textId="77777777" w:rsidR="001D3280" w:rsidRPr="0054347C" w:rsidRDefault="001D3280" w:rsidP="001D3280">
      <w:pPr>
        <w:ind w:left="360"/>
        <w:jc w:val="both"/>
      </w:pPr>
      <w:r w:rsidRPr="0054347C">
        <w:t xml:space="preserve">Na podstawie zaleceń </w:t>
      </w:r>
      <w:proofErr w:type="spellStart"/>
      <w:r w:rsidRPr="0054347C">
        <w:t>National</w:t>
      </w:r>
      <w:proofErr w:type="spellEnd"/>
      <w:r w:rsidRPr="0054347C">
        <w:t xml:space="preserve"> </w:t>
      </w:r>
      <w:proofErr w:type="spellStart"/>
      <w:r w:rsidRPr="0054347C">
        <w:t>Institutes</w:t>
      </w:r>
      <w:proofErr w:type="spellEnd"/>
      <w:r w:rsidRPr="0054347C">
        <w:t xml:space="preserve"> of </w:t>
      </w:r>
      <w:proofErr w:type="spellStart"/>
      <w:r w:rsidRPr="0054347C">
        <w:t>Health</w:t>
      </w:r>
      <w:proofErr w:type="spellEnd"/>
      <w:r w:rsidRPr="0054347C">
        <w:t xml:space="preserve"> (NIH), opartych na zasadach ogólnie przyjętych w chorobach infekcyjnych. </w:t>
      </w:r>
    </w:p>
    <w:p w14:paraId="4BC2515C" w14:textId="77777777" w:rsidR="004912EE" w:rsidRPr="0054347C" w:rsidRDefault="004912EE" w:rsidP="008B7F27">
      <w:pPr>
        <w:jc w:val="both"/>
      </w:pPr>
    </w:p>
    <w:p w14:paraId="481B2E99" w14:textId="4AD7598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Brak danych dotyczących wyższości poszczególnych niesteroidowych leków przeciwzapalnych nad innymi. Brak również dowodów na ich szkodliwość.</w:t>
      </w:r>
    </w:p>
    <w:p w14:paraId="55D782D1" w14:textId="77777777" w:rsidR="004912EE" w:rsidRPr="0054347C" w:rsidRDefault="004912EE" w:rsidP="008B7F27">
      <w:pPr>
        <w:ind w:left="360"/>
        <w:jc w:val="both"/>
      </w:pPr>
      <w:r w:rsidRPr="0054347C">
        <w:t xml:space="preserve">Pomimo wstępnych doniesień o ewentualnej szkodliwości stosowania </w:t>
      </w:r>
      <w:proofErr w:type="spellStart"/>
      <w:r w:rsidRPr="0054347C">
        <w:t>ibuprofenu</w:t>
      </w:r>
      <w:proofErr w:type="spellEnd"/>
      <w:r w:rsidRPr="0054347C">
        <w:t>, kolejne badania kliniczne na dużych populacjach chorych na COVID-19 nie wykazały takiej zależności. Dlatego brak jest danych uzasadniających wybór poszczególnych leków z tej grupy.</w:t>
      </w:r>
    </w:p>
    <w:p w14:paraId="7AB812E9" w14:textId="77777777" w:rsidR="004912EE" w:rsidRPr="0054347C" w:rsidRDefault="004912EE" w:rsidP="008B7F27">
      <w:pPr>
        <w:jc w:val="both"/>
      </w:pPr>
    </w:p>
    <w:p w14:paraId="451066CA" w14:textId="6102683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utrzymanie podaży płynów odpowiedniej do temperatury ciała, ale nie mniejszej niż 2000 ml na dobę. W przypadku chorych z przewlekłą niewydolnością serca i przewlekłą niewydolnością nerek wskazana jest samokontrola diurezy, nasilenia obrzęków oraz codzienny pomiar masy ciała.</w:t>
      </w:r>
    </w:p>
    <w:p w14:paraId="214434A5" w14:textId="77777777" w:rsidR="004912EE" w:rsidRPr="0054347C" w:rsidRDefault="004912EE" w:rsidP="008B7F27">
      <w:pPr>
        <w:ind w:firstLine="360"/>
        <w:jc w:val="both"/>
      </w:pPr>
      <w:r w:rsidRPr="0054347C">
        <w:t>Zalecenie oparte na zasadach ogólnie przyjętych w chorobach infekcyjnych.</w:t>
      </w:r>
    </w:p>
    <w:p w14:paraId="50A45F94" w14:textId="77777777" w:rsidR="004912EE" w:rsidRPr="0054347C" w:rsidRDefault="004912EE" w:rsidP="008B7F27">
      <w:pPr>
        <w:jc w:val="both"/>
      </w:pPr>
    </w:p>
    <w:p w14:paraId="36C5A639" w14:textId="42B62B01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Stosowanie antybiotyków w chorobie COVID-19 jest uzasadnione wyłącznie u osób z przewlekłymi </w:t>
      </w:r>
      <w:r w:rsidR="0020204D" w:rsidRPr="0054347C">
        <w:rPr>
          <w:b/>
          <w:bCs/>
        </w:rPr>
        <w:t xml:space="preserve">chorobami zapalnymi z zakażeniem </w:t>
      </w:r>
      <w:r w:rsidRPr="0054347C">
        <w:rPr>
          <w:b/>
          <w:bCs/>
        </w:rPr>
        <w:t>(np. POChP), poddawanych immunosupresji lub z niedoborami odporności z innych przyczyn</w:t>
      </w:r>
      <w:r w:rsidR="00F9520F" w:rsidRPr="0054347C">
        <w:rPr>
          <w:b/>
          <w:bCs/>
        </w:rPr>
        <w:t>,</w:t>
      </w:r>
      <w:r w:rsidRPr="0054347C">
        <w:rPr>
          <w:b/>
          <w:bCs/>
        </w:rPr>
        <w:t xml:space="preserve"> oraz w razie przewlekającej się infekcji dolnych dróg oddechowych (&gt;14 dni) z cechami zakażenia bakteryjnego – np. pojawienie się ropnej plwociny.</w:t>
      </w:r>
    </w:p>
    <w:p w14:paraId="5786A103" w14:textId="619CAB44" w:rsidR="004912EE" w:rsidRPr="0054347C" w:rsidRDefault="004912EE" w:rsidP="008B7F27">
      <w:pPr>
        <w:ind w:left="360"/>
        <w:jc w:val="both"/>
      </w:pPr>
      <w:r w:rsidRPr="0054347C">
        <w:t>Zalecenie oparte na zasadach ogólnie przyjętych w chorobach infekcyjnych na podłożu wirusowym</w:t>
      </w:r>
      <w:r w:rsidR="00F9520F" w:rsidRPr="0054347C">
        <w:t>,</w:t>
      </w:r>
      <w:r w:rsidRPr="0054347C">
        <w:t xml:space="preserve"> w związku z nieskutecznością antybiotyków w zakażeniach wirusowych oraz w celu zapobiegania selekcji szczepów bakterii lekoopornych.  </w:t>
      </w:r>
    </w:p>
    <w:p w14:paraId="62DBD4CB" w14:textId="77777777" w:rsidR="004912EE" w:rsidRPr="0054347C" w:rsidRDefault="004912EE" w:rsidP="008B7F27">
      <w:pPr>
        <w:jc w:val="both"/>
      </w:pPr>
    </w:p>
    <w:p w14:paraId="7CEEC8E2" w14:textId="0389AD3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stosowanie leków przeciwkaszlowych u chorych z nasilonym kaszlem (utrudniającym mówienie i sen). W ciężkich przypadkach można rozważyć stosowanie preparatów z zawartością kodeiny.</w:t>
      </w:r>
    </w:p>
    <w:p w14:paraId="7B711614" w14:textId="0B3EA7BA" w:rsidR="008B7F27" w:rsidRPr="0054347C" w:rsidRDefault="004912EE" w:rsidP="001D3280">
      <w:pPr>
        <w:ind w:left="360"/>
        <w:jc w:val="both"/>
      </w:pPr>
      <w:r w:rsidRPr="0054347C">
        <w:t>Zalecenie wydane przez NIH w związku z obserwacją, że kaszel jest częstym objawem pogarszającym wydolność oddechową oraz utrudniającym funkcjonowanie pacjentów z COVID-19.</w:t>
      </w:r>
    </w:p>
    <w:p w14:paraId="53BBDBDF" w14:textId="77777777" w:rsidR="004912EE" w:rsidRPr="0054347C" w:rsidRDefault="004912EE" w:rsidP="008B7F27">
      <w:pPr>
        <w:jc w:val="both"/>
      </w:pPr>
    </w:p>
    <w:p w14:paraId="2F952919" w14:textId="53AFD8B3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Brak wiarygodnych danych dotyczących wpływu stosowania witaminy D na ryzyko zakażenia i przebieg choroby COVID-19. Ze względu na powszechny niedobór </w:t>
      </w:r>
      <w:proofErr w:type="spellStart"/>
      <w:r w:rsidRPr="0054347C">
        <w:rPr>
          <w:b/>
          <w:bCs/>
        </w:rPr>
        <w:t>wit</w:t>
      </w:r>
      <w:proofErr w:type="spellEnd"/>
      <w:r w:rsidRPr="0054347C">
        <w:rPr>
          <w:b/>
          <w:bCs/>
        </w:rPr>
        <w:t xml:space="preserve">. D w populacji – szczególnie w okresie jesiennym i zimowym – oraz niewielkie ryzyko powikłań </w:t>
      </w:r>
      <w:r w:rsidR="00F57567" w:rsidRPr="0054347C">
        <w:rPr>
          <w:b/>
          <w:bCs/>
        </w:rPr>
        <w:t>zaleca się</w:t>
      </w:r>
      <w:r w:rsidRPr="0054347C">
        <w:rPr>
          <w:b/>
          <w:bCs/>
        </w:rPr>
        <w:t xml:space="preserve"> stosowanie </w:t>
      </w:r>
      <w:proofErr w:type="spellStart"/>
      <w:r w:rsidRPr="0054347C">
        <w:rPr>
          <w:b/>
          <w:bCs/>
        </w:rPr>
        <w:t>suplementacyjnej</w:t>
      </w:r>
      <w:proofErr w:type="spellEnd"/>
      <w:r w:rsidRPr="0054347C">
        <w:rPr>
          <w:b/>
          <w:bCs/>
        </w:rPr>
        <w:t xml:space="preserve"> dawki </w:t>
      </w:r>
      <w:proofErr w:type="spellStart"/>
      <w:r w:rsidRPr="0054347C">
        <w:rPr>
          <w:b/>
          <w:bCs/>
        </w:rPr>
        <w:t>wit</w:t>
      </w:r>
      <w:proofErr w:type="spellEnd"/>
      <w:r w:rsidRPr="0054347C">
        <w:rPr>
          <w:b/>
          <w:bCs/>
        </w:rPr>
        <w:t xml:space="preserve">. D do 2000 IU dziennie u </w:t>
      </w:r>
      <w:r w:rsidR="00F57567" w:rsidRPr="0054347C">
        <w:rPr>
          <w:b/>
          <w:bCs/>
        </w:rPr>
        <w:t>dorosł</w:t>
      </w:r>
      <w:r w:rsidR="00016209" w:rsidRPr="0054347C">
        <w:rPr>
          <w:b/>
          <w:bCs/>
        </w:rPr>
        <w:t>ych (do 4000 IU u osób powyżej 75 roku życia), zgodnie z zaleceniami suplementacji tej witaminy w populacji polskiej.</w:t>
      </w:r>
    </w:p>
    <w:p w14:paraId="7B83535F" w14:textId="1BA0C029" w:rsidR="00016209" w:rsidRPr="0054347C" w:rsidRDefault="004912EE" w:rsidP="00794EC7">
      <w:pPr>
        <w:ind w:left="360"/>
        <w:jc w:val="both"/>
      </w:pPr>
      <w:r w:rsidRPr="0054347C">
        <w:t xml:space="preserve">Zalecenie </w:t>
      </w:r>
      <w:proofErr w:type="spellStart"/>
      <w:r w:rsidRPr="0054347C">
        <w:t>AOTMiT</w:t>
      </w:r>
      <w:proofErr w:type="spellEnd"/>
      <w:r w:rsidR="00794EC7" w:rsidRPr="0054347C">
        <w:t xml:space="preserve"> wskazują na </w:t>
      </w:r>
      <w:r w:rsidRPr="0054347C">
        <w:t>ryzyk</w:t>
      </w:r>
      <w:r w:rsidR="00794EC7" w:rsidRPr="0054347C">
        <w:t>o</w:t>
      </w:r>
      <w:r w:rsidRPr="0054347C">
        <w:t xml:space="preserve"> cięższego przebiegu choroby u pacjentów z niedoborami witaminy D, przy jednoczesnym małym ryzyku związanym ze stosowaniem tego preparatu.</w:t>
      </w:r>
      <w:r w:rsidR="00794EC7" w:rsidRPr="0054347C">
        <w:t xml:space="preserve"> </w:t>
      </w:r>
      <w:bookmarkStart w:id="0" w:name="_Hlk61765432"/>
      <w:r w:rsidR="00016209" w:rsidRPr="0054347C">
        <w:t>Zasady suplementacji i leczenia witaminą D – nowelizacja 2018 r.</w:t>
      </w:r>
      <w:r w:rsidR="00794EC7" w:rsidRPr="0054347C">
        <w:t xml:space="preserve"> jednoznacznie wskazują na konieczność suplementacji tej witaminy w całej populacji polskiej, przez większość roku. Jednocześnie ostatnie dane opublikowane w </w:t>
      </w:r>
      <w:r w:rsidR="00794EC7" w:rsidRPr="0054347C">
        <w:rPr>
          <w:i/>
          <w:iCs/>
        </w:rPr>
        <w:t xml:space="preserve">The Lancet </w:t>
      </w:r>
      <w:proofErr w:type="spellStart"/>
      <w:r w:rsidR="00794EC7" w:rsidRPr="0054347C">
        <w:rPr>
          <w:i/>
          <w:iCs/>
        </w:rPr>
        <w:t>Diabetes&amp;Endocrinology</w:t>
      </w:r>
      <w:proofErr w:type="spellEnd"/>
      <w:r w:rsidR="00794EC7" w:rsidRPr="0054347C">
        <w:t xml:space="preserve"> wskazują na brak istotnego wpływu podawania witaminy D na przebieg ostrych infekcji dróg oddechowych.</w:t>
      </w:r>
    </w:p>
    <w:bookmarkEnd w:id="0"/>
    <w:p w14:paraId="77BC88D4" w14:textId="77777777" w:rsidR="004912EE" w:rsidRPr="0054347C" w:rsidRDefault="004912EE" w:rsidP="00F57567">
      <w:pPr>
        <w:ind w:left="360"/>
        <w:jc w:val="both"/>
      </w:pPr>
    </w:p>
    <w:p w14:paraId="48E6479C" w14:textId="5EEC7ADE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Brak wiarygodnych danych dotyczących skuteczności innych leków i suplementów diety w leczeniu COVID-19</w:t>
      </w:r>
      <w:r w:rsidR="008B7F27" w:rsidRPr="0054347C">
        <w:rPr>
          <w:b/>
          <w:bCs/>
        </w:rPr>
        <w:t>,</w:t>
      </w:r>
      <w:r w:rsidRPr="0054347C">
        <w:rPr>
          <w:b/>
          <w:bCs/>
        </w:rPr>
        <w:t xml:space="preserve"> w tym witaminy C i cynku.</w:t>
      </w:r>
    </w:p>
    <w:p w14:paraId="4555F840" w14:textId="77777777" w:rsidR="004912EE" w:rsidRPr="0054347C" w:rsidRDefault="004912EE" w:rsidP="008B7F27">
      <w:pPr>
        <w:ind w:left="360"/>
        <w:jc w:val="both"/>
      </w:pPr>
      <w:r w:rsidRPr="0054347C">
        <w:t xml:space="preserve">Wyniki dotychczasowych badań nie uzasadniają stosowania witaminy C, ani cynku u chorych z ciężką sepsą. Dotychczas brak danych dotyczących korzyści ze stosowania tych preparatów u chorych z COVID-19. </w:t>
      </w:r>
    </w:p>
    <w:p w14:paraId="0E217B28" w14:textId="77777777" w:rsidR="004912EE" w:rsidRPr="0054347C" w:rsidRDefault="004912EE" w:rsidP="008B7F27">
      <w:pPr>
        <w:jc w:val="both"/>
      </w:pPr>
    </w:p>
    <w:p w14:paraId="4C5F3B45" w14:textId="6E491A2F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regularne pomiary ciśnienia tętniczego u chorych na COVID-19 w wieku &gt;65 lat oraz u wszystkich leczonych z powodu nadciśnienia tętniczego i niewydolności serca.</w:t>
      </w:r>
    </w:p>
    <w:p w14:paraId="7C719B55" w14:textId="77777777" w:rsidR="004912EE" w:rsidRPr="0054347C" w:rsidRDefault="004912EE" w:rsidP="008B7F27">
      <w:pPr>
        <w:ind w:left="360"/>
        <w:jc w:val="both"/>
      </w:pPr>
      <w:r w:rsidRPr="0054347C">
        <w:t>Zalecenie oparte na ogólnych zasadach postępowania u chorych z nadciśnieniem tętniczym oraz niewydolnością serca, szczególnie z współistniejącą chorobą infekcyjną.</w:t>
      </w:r>
    </w:p>
    <w:p w14:paraId="2D6100D8" w14:textId="77777777" w:rsidR="004912EE" w:rsidRPr="0054347C" w:rsidRDefault="004912EE" w:rsidP="008B7F27">
      <w:pPr>
        <w:jc w:val="both"/>
      </w:pPr>
    </w:p>
    <w:p w14:paraId="6C5E5EA2" w14:textId="3EE11456" w:rsidR="004912EE" w:rsidRPr="0054347C" w:rsidRDefault="008C1607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</w:t>
      </w:r>
      <w:r w:rsidR="004912EE" w:rsidRPr="0054347C">
        <w:rPr>
          <w:b/>
          <w:bCs/>
        </w:rPr>
        <w:t xml:space="preserve">aleca się monitorowanie saturacji krwi tętniczej tlenem za pomocą </w:t>
      </w:r>
      <w:proofErr w:type="spellStart"/>
      <w:r w:rsidR="004912EE" w:rsidRPr="0054347C">
        <w:rPr>
          <w:b/>
          <w:bCs/>
        </w:rPr>
        <w:t>pulsoksymetru</w:t>
      </w:r>
      <w:proofErr w:type="spellEnd"/>
      <w:r w:rsidR="004912EE" w:rsidRPr="0054347C">
        <w:rPr>
          <w:b/>
          <w:bCs/>
        </w:rPr>
        <w:t xml:space="preserve"> u wszystkich pacjentów z dusznością spoczynkową, a szczególnie u osób w wieku &gt;6</w:t>
      </w:r>
      <w:r w:rsidR="0020204D" w:rsidRPr="0054347C">
        <w:rPr>
          <w:b/>
          <w:bCs/>
        </w:rPr>
        <w:t>0</w:t>
      </w:r>
      <w:r w:rsidR="004912EE" w:rsidRPr="0054347C">
        <w:rPr>
          <w:b/>
          <w:bCs/>
        </w:rPr>
        <w:t xml:space="preserve"> lat.</w:t>
      </w:r>
    </w:p>
    <w:p w14:paraId="7B614B7C" w14:textId="1A3AD3D4" w:rsidR="004912EE" w:rsidRPr="0054347C" w:rsidRDefault="004912EE" w:rsidP="008B7F27">
      <w:pPr>
        <w:ind w:left="360"/>
        <w:jc w:val="both"/>
        <w:rPr>
          <w:rStyle w:val="Hipercze"/>
        </w:rPr>
      </w:pPr>
      <w:r w:rsidRPr="0054347C">
        <w:t>W związku z częstym występowaniem u chorych na COVID-19 niewydolności oddechowej z głęboką hipoksemią bez subiektywnego uczucia duszności</w:t>
      </w:r>
      <w:r w:rsidR="00F57567" w:rsidRPr="0054347C">
        <w:t>,</w:t>
      </w:r>
      <w:r w:rsidRPr="0054347C">
        <w:t xml:space="preserve"> uzasadnione jest monitorowani</w:t>
      </w:r>
      <w:r w:rsidR="00CA1380" w:rsidRPr="0054347C">
        <w:t>e</w:t>
      </w:r>
      <w:r w:rsidRPr="0054347C">
        <w:t xml:space="preserve"> saturacji, szczególnie u pacjentów w podeszłym wieku i/lub osób obciążonych schorzeniami towarzyszącymi.</w:t>
      </w:r>
      <w:r w:rsidR="00794EC7" w:rsidRPr="0054347C">
        <w:t xml:space="preserve"> Optymalnym rozwiązaniem jest włączenie pacjenta do </w:t>
      </w:r>
      <w:r w:rsidR="00546CD0" w:rsidRPr="0054347C">
        <w:t xml:space="preserve">programu Domowej Opieki Medycznej (system </w:t>
      </w:r>
      <w:proofErr w:type="spellStart"/>
      <w:r w:rsidR="00546CD0" w:rsidRPr="0054347C">
        <w:t>PulsoCare</w:t>
      </w:r>
      <w:proofErr w:type="spellEnd"/>
      <w:r w:rsidR="00546CD0" w:rsidRPr="0054347C">
        <w:t xml:space="preserve">), w którym będzie stale monitorowany - </w:t>
      </w:r>
      <w:hyperlink r:id="rId7" w:history="1">
        <w:r w:rsidR="00546CD0" w:rsidRPr="0054347C">
          <w:rPr>
            <w:rStyle w:val="Hipercze"/>
          </w:rPr>
          <w:t>https://www.gov.pl/web/domowaopiekamedyczna</w:t>
        </w:r>
      </w:hyperlink>
    </w:p>
    <w:p w14:paraId="446F5173" w14:textId="7D94926C" w:rsidR="001A1F00" w:rsidRPr="0054347C" w:rsidRDefault="001A1F00" w:rsidP="008B7F27">
      <w:pPr>
        <w:ind w:left="360"/>
        <w:jc w:val="both"/>
      </w:pPr>
    </w:p>
    <w:p w14:paraId="5D3495B1" w14:textId="45B7A055" w:rsidR="001A1F00" w:rsidRPr="0054347C" w:rsidRDefault="00CA1380" w:rsidP="00A53DF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</w:t>
      </w:r>
      <w:r w:rsidR="001A1F00" w:rsidRPr="0054347C">
        <w:rPr>
          <w:b/>
          <w:bCs/>
        </w:rPr>
        <w:t xml:space="preserve"> skierowani</w:t>
      </w:r>
      <w:r w:rsidRPr="0054347C">
        <w:rPr>
          <w:b/>
          <w:bCs/>
        </w:rPr>
        <w:t>e</w:t>
      </w:r>
      <w:r w:rsidR="001A1F00" w:rsidRPr="0054347C">
        <w:rPr>
          <w:b/>
          <w:bCs/>
        </w:rPr>
        <w:t xml:space="preserve"> pacjenta do szpitala</w:t>
      </w:r>
      <w:r w:rsidRPr="0054347C">
        <w:rPr>
          <w:b/>
          <w:bCs/>
        </w:rPr>
        <w:t>, w razie wystąpienia następujących okoliczności:</w:t>
      </w:r>
    </w:p>
    <w:p w14:paraId="111D270C" w14:textId="0DFDA141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Duszności występującej w spoczynku i utrudniającej mówienie, częstości oddechów powyżej 30 na minutę</w:t>
      </w:r>
    </w:p>
    <w:p w14:paraId="266FB5ED" w14:textId="7CF32376" w:rsidR="001A1F00" w:rsidRPr="0054347C" w:rsidRDefault="001A1F00" w:rsidP="00A53DF0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54347C">
        <w:t>Sinicy lub</w:t>
      </w:r>
      <w:r w:rsidR="00E70D99" w:rsidRPr="0054347C">
        <w:t xml:space="preserve"> hipoksemii –</w:t>
      </w:r>
      <w:r w:rsidRPr="0054347C">
        <w:t xml:space="preserve"> saturacji krwi tętniczej tlenem zmierzonej </w:t>
      </w:r>
      <w:proofErr w:type="spellStart"/>
      <w:r w:rsidRPr="0054347C">
        <w:t>pulsoksymetrem</w:t>
      </w:r>
      <w:proofErr w:type="spellEnd"/>
      <w:r w:rsidRPr="0054347C">
        <w:t xml:space="preserve"> &lt;9</w:t>
      </w:r>
      <w:r w:rsidR="0020204D" w:rsidRPr="0054347C">
        <w:t>4</w:t>
      </w:r>
      <w:r w:rsidRPr="0054347C">
        <w:t xml:space="preserve">% (w przypadku chorych z przewlekłą niewydolnością oddechową – np. POChP, zwłóknienie płuc </w:t>
      </w:r>
      <w:r w:rsidR="00CA1380" w:rsidRPr="0054347C">
        <w:t xml:space="preserve">– </w:t>
      </w:r>
      <w:r w:rsidRPr="0054347C">
        <w:t>SpO</w:t>
      </w:r>
      <w:r w:rsidRPr="0054347C">
        <w:rPr>
          <w:vertAlign w:val="subscript"/>
        </w:rPr>
        <w:t>2</w:t>
      </w:r>
      <w:r w:rsidRPr="0054347C">
        <w:t xml:space="preserve"> &lt;88%)</w:t>
      </w:r>
      <w:r w:rsidR="00CA1380" w:rsidRPr="0054347C">
        <w:t xml:space="preserve">. </w:t>
      </w:r>
      <w:r w:rsidR="00CA1380" w:rsidRPr="0054347C">
        <w:rPr>
          <w:b/>
          <w:bCs/>
        </w:rPr>
        <w:t xml:space="preserve">Hipoksemia jest wskazaniem do hospitalizacji niezależnie od subiektywnego uczucia duszności. </w:t>
      </w:r>
    </w:p>
    <w:p w14:paraId="26A31247" w14:textId="7D2B4B4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Gorączki powyżej 39 stopni Celsjusza - szczególnie utrzymującej się przez ponad dobę</w:t>
      </w:r>
      <w:r w:rsidR="0020204D" w:rsidRPr="0054347C">
        <w:t xml:space="preserve"> i powodującej bardzo znaczne osłabienie pacjenta</w:t>
      </w:r>
      <w:r w:rsidR="00354CF2" w:rsidRPr="0054347C">
        <w:t xml:space="preserve"> w wieku średnim lub podeszłym</w:t>
      </w:r>
      <w:r w:rsidR="0020204D" w:rsidRPr="0054347C">
        <w:t>.</w:t>
      </w:r>
    </w:p>
    <w:p w14:paraId="5900E4B7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Kaszlu utrudniającego swobodne oddychanie i mówienie</w:t>
      </w:r>
    </w:p>
    <w:p w14:paraId="12531FCB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Bólu w klatce piersiowej</w:t>
      </w:r>
    </w:p>
    <w:p w14:paraId="19F76406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Spadku ciśnienia tętniczego krwi poniżej 90/60 mmHg (jeśli chory zazwyczaj ma wyższe)</w:t>
      </w:r>
    </w:p>
    <w:p w14:paraId="42C4F346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Zmian świadomości i zachowania – trudność w obudzeniu chorego, niepokojąca zmiana zachowania i sposobu mówienia, utrudniony lub niemożliwy kontakt z chorym, utrata przytomności</w:t>
      </w:r>
    </w:p>
    <w:p w14:paraId="3F952C47" w14:textId="5BD5F398" w:rsidR="004912EE" w:rsidRPr="0054347C" w:rsidRDefault="004912EE" w:rsidP="008B7F27">
      <w:pPr>
        <w:pStyle w:val="Akapitzlist"/>
        <w:jc w:val="both"/>
      </w:pPr>
    </w:p>
    <w:p w14:paraId="0F8E3BCD" w14:textId="77777777" w:rsidR="004912EE" w:rsidRPr="0054347C" w:rsidRDefault="004912EE" w:rsidP="008B7F27">
      <w:pPr>
        <w:jc w:val="both"/>
      </w:pPr>
    </w:p>
    <w:p w14:paraId="5E98CDE9" w14:textId="77777777" w:rsidR="004912EE" w:rsidRPr="0054347C" w:rsidRDefault="004912EE" w:rsidP="008B7F27">
      <w:pPr>
        <w:jc w:val="both"/>
        <w:rPr>
          <w:sz w:val="22"/>
          <w:szCs w:val="22"/>
        </w:rPr>
      </w:pPr>
      <w:r w:rsidRPr="0054347C">
        <w:rPr>
          <w:sz w:val="22"/>
          <w:szCs w:val="22"/>
        </w:rPr>
        <w:t>Źródła danych:</w:t>
      </w:r>
    </w:p>
    <w:p w14:paraId="40931A23" w14:textId="77777777" w:rsidR="00016209" w:rsidRPr="0054347C" w:rsidRDefault="004912EE" w:rsidP="00BD50F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4347C">
        <w:rPr>
          <w:sz w:val="22"/>
          <w:szCs w:val="22"/>
        </w:rPr>
        <w:t xml:space="preserve">Agencja Oceny Technologii Medycznych i Taryfikacji: </w:t>
      </w:r>
      <w:hyperlink r:id="rId8" w:history="1">
        <w:r w:rsidRPr="0054347C">
          <w:rPr>
            <w:sz w:val="22"/>
            <w:szCs w:val="22"/>
          </w:rPr>
          <w:t>Farmakoterapia COVID-19 – aktualizacja Zaleceń (wersja 2.0, 27 listopada 2020 r.)</w:t>
        </w:r>
      </w:hyperlink>
    </w:p>
    <w:p w14:paraId="1BEEE3B2" w14:textId="1B61F487" w:rsidR="004912EE" w:rsidRPr="0054347C" w:rsidRDefault="00495D5E" w:rsidP="00016209">
      <w:pPr>
        <w:pStyle w:val="Akapitzlist"/>
        <w:ind w:left="360"/>
        <w:jc w:val="both"/>
        <w:rPr>
          <w:sz w:val="22"/>
          <w:szCs w:val="22"/>
        </w:rPr>
      </w:pPr>
      <w:hyperlink r:id="rId9" w:history="1">
        <w:r w:rsidR="00016209" w:rsidRPr="0054347C">
          <w:rPr>
            <w:rStyle w:val="Hipercze"/>
            <w:sz w:val="22"/>
            <w:szCs w:val="22"/>
          </w:rPr>
          <w:t>https://www.aotm.gov.pl/media/2020/12/Farmakoterapia-COVID-19-Aktualizacja-wersja-2.0-27-listopada-2020-r._new_aktualna.pdf</w:t>
        </w:r>
      </w:hyperlink>
    </w:p>
    <w:p w14:paraId="25DACB38" w14:textId="3E39FC0F" w:rsidR="0054347C" w:rsidRPr="0054347C" w:rsidRDefault="004912EE" w:rsidP="0054347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54347C">
        <w:rPr>
          <w:sz w:val="22"/>
          <w:szCs w:val="22"/>
          <w:lang w:val="en-US"/>
        </w:rPr>
        <w:t>National Institutes of Health: Therapeutic Management of Patients with COVID-19</w:t>
      </w:r>
      <w:r w:rsidR="0054347C" w:rsidRPr="0054347C">
        <w:rPr>
          <w:sz w:val="22"/>
          <w:szCs w:val="22"/>
          <w:lang w:val="en-US"/>
        </w:rPr>
        <w:t xml:space="preserve"> </w:t>
      </w:r>
      <w:hyperlink r:id="rId10" w:history="1">
        <w:r w:rsidR="0054347C" w:rsidRPr="0054347C">
          <w:rPr>
            <w:rStyle w:val="Hipercze"/>
            <w:sz w:val="22"/>
            <w:szCs w:val="22"/>
            <w:lang w:val="en-US"/>
          </w:rPr>
          <w:t>https://www.covid19treatmentguidelines.nih.gov/therapeutic-management/</w:t>
        </w:r>
      </w:hyperlink>
      <w:r w:rsidR="0054347C" w:rsidRPr="0054347C">
        <w:rPr>
          <w:sz w:val="22"/>
          <w:szCs w:val="22"/>
          <w:lang w:val="en-US"/>
        </w:rPr>
        <w:t xml:space="preserve"> </w:t>
      </w:r>
    </w:p>
    <w:p w14:paraId="063C8F8C" w14:textId="5F20F04F" w:rsidR="00016209" w:rsidRPr="0054347C" w:rsidRDefault="004912EE" w:rsidP="00016209">
      <w:pPr>
        <w:pStyle w:val="Akapitzlist"/>
        <w:numPr>
          <w:ilvl w:val="0"/>
          <w:numId w:val="3"/>
        </w:numPr>
        <w:jc w:val="both"/>
        <w:rPr>
          <w:rStyle w:val="Hipercze"/>
          <w:sz w:val="22"/>
          <w:szCs w:val="22"/>
        </w:rPr>
      </w:pPr>
      <w:r w:rsidRPr="0054347C">
        <w:rPr>
          <w:sz w:val="22"/>
          <w:szCs w:val="22"/>
          <w:lang w:val="en-US"/>
        </w:rPr>
        <w:t>UpToDate Coronavirus disease 2019 (COVID-19): Outpatient evaluation and management in adults</w:t>
      </w:r>
      <w:r w:rsidR="00016209" w:rsidRPr="0054347C">
        <w:rPr>
          <w:sz w:val="22"/>
          <w:szCs w:val="22"/>
          <w:lang w:val="en-US"/>
        </w:rPr>
        <w:t xml:space="preserve">. </w:t>
      </w:r>
      <w:hyperlink r:id="rId11" w:history="1">
        <w:r w:rsidRPr="0054347C">
          <w:rPr>
            <w:rStyle w:val="Hipercze"/>
            <w:sz w:val="22"/>
            <w:szCs w:val="22"/>
          </w:rPr>
          <w:t>https://www.uptodate.com/contents/coronavirus-disease-2019-covid-19-outpatient-evaluation-and-management-in-adults</w:t>
        </w:r>
      </w:hyperlink>
    </w:p>
    <w:p w14:paraId="61D0B54E" w14:textId="3C953B80" w:rsidR="00016209" w:rsidRPr="0054347C" w:rsidRDefault="00203B44" w:rsidP="0001620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4347C">
        <w:rPr>
          <w:sz w:val="22"/>
          <w:szCs w:val="22"/>
        </w:rPr>
        <w:t xml:space="preserve">Rusińska A. i </w:t>
      </w:r>
      <w:proofErr w:type="spellStart"/>
      <w:r w:rsidRPr="0054347C">
        <w:rPr>
          <w:sz w:val="22"/>
          <w:szCs w:val="22"/>
        </w:rPr>
        <w:t>wsp</w:t>
      </w:r>
      <w:proofErr w:type="spellEnd"/>
      <w:r w:rsidRPr="0054347C">
        <w:rPr>
          <w:sz w:val="22"/>
          <w:szCs w:val="22"/>
        </w:rPr>
        <w:t xml:space="preserve">. </w:t>
      </w:r>
      <w:r w:rsidR="00016209" w:rsidRPr="0054347C">
        <w:rPr>
          <w:sz w:val="22"/>
          <w:szCs w:val="22"/>
        </w:rPr>
        <w:t>Zasady suplementacji i leczenia witaminą D – nowelizacja 2018 r.</w:t>
      </w:r>
    </w:p>
    <w:p w14:paraId="150ACAA1" w14:textId="552B3A45" w:rsidR="00CA1380" w:rsidRPr="0054347C" w:rsidRDefault="00016209" w:rsidP="00CA1380">
      <w:pPr>
        <w:pStyle w:val="Akapitzlist"/>
        <w:ind w:left="360"/>
        <w:jc w:val="both"/>
        <w:rPr>
          <w:sz w:val="22"/>
          <w:szCs w:val="22"/>
        </w:rPr>
      </w:pPr>
      <w:r w:rsidRPr="0054347C">
        <w:rPr>
          <w:sz w:val="22"/>
          <w:szCs w:val="22"/>
        </w:rPr>
        <w:t xml:space="preserve"> </w:t>
      </w:r>
      <w:hyperlink r:id="rId12" w:history="1">
        <w:r w:rsidRPr="0054347C">
          <w:rPr>
            <w:rStyle w:val="Hipercze"/>
            <w:sz w:val="22"/>
            <w:szCs w:val="22"/>
          </w:rPr>
          <w:t>http://mavipuro.pl/jourarch/PN2018001.pdf</w:t>
        </w:r>
      </w:hyperlink>
      <w:r w:rsidR="00203B44" w:rsidRPr="0054347C">
        <w:rPr>
          <w:sz w:val="22"/>
          <w:szCs w:val="22"/>
        </w:rPr>
        <w:t xml:space="preserve"> (dostęp 17.01.2021)</w:t>
      </w:r>
    </w:p>
    <w:p w14:paraId="76035409" w14:textId="783CDEB7" w:rsidR="00CA1380" w:rsidRPr="0054347C" w:rsidRDefault="00203B44" w:rsidP="00203B4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4347C">
        <w:rPr>
          <w:sz w:val="22"/>
          <w:szCs w:val="22"/>
          <w:lang w:val="en-US"/>
        </w:rPr>
        <w:t xml:space="preserve">Hai Pham et al. The effect of vitamin D supplementation on acute respiratory tract infection in older Australian adults: an analysis of data from the D-Health Trial. </w:t>
      </w:r>
      <w:hyperlink r:id="rId13" w:history="1">
        <w:r w:rsidRPr="0054347C">
          <w:rPr>
            <w:rStyle w:val="Hipercze"/>
            <w:sz w:val="22"/>
            <w:szCs w:val="22"/>
          </w:rPr>
          <w:t>https://www.thelancet.com/journals/landia/article/PIIS2213-8587(20)30380-6/fulltext</w:t>
        </w:r>
      </w:hyperlink>
      <w:r w:rsidRPr="0054347C">
        <w:rPr>
          <w:sz w:val="22"/>
          <w:szCs w:val="22"/>
        </w:rPr>
        <w:t xml:space="preserve"> (dostęp 17.01.2021)</w:t>
      </w:r>
    </w:p>
    <w:p w14:paraId="52390B57" w14:textId="30C57156" w:rsidR="004D508A" w:rsidRPr="0054347C" w:rsidRDefault="004D508A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54347C">
        <w:rPr>
          <w:sz w:val="22"/>
          <w:szCs w:val="22"/>
          <w:lang w:val="en-GB"/>
        </w:rPr>
        <w:t>Flisiak R, Parczewski M, Horban A, et al. Management of SARS</w:t>
      </w:r>
      <w:r w:rsidRPr="0054347C">
        <w:rPr>
          <w:rFonts w:ascii="Cambria Math" w:hAnsi="Cambria Math" w:cs="Cambria Math"/>
          <w:sz w:val="22"/>
          <w:szCs w:val="22"/>
          <w:lang w:val="en-GB"/>
        </w:rPr>
        <w:t>‑</w:t>
      </w:r>
      <w:r w:rsidRPr="0054347C">
        <w:rPr>
          <w:sz w:val="22"/>
          <w:szCs w:val="22"/>
          <w:lang w:val="en-GB"/>
        </w:rPr>
        <w:t>CoV</w:t>
      </w:r>
      <w:r w:rsidRPr="0054347C">
        <w:rPr>
          <w:rFonts w:ascii="Cambria Math" w:hAnsi="Cambria Math" w:cs="Cambria Math"/>
          <w:sz w:val="22"/>
          <w:szCs w:val="22"/>
          <w:lang w:val="en-GB"/>
        </w:rPr>
        <w:t>‑</w:t>
      </w:r>
      <w:r w:rsidRPr="0054347C">
        <w:rPr>
          <w:sz w:val="22"/>
          <w:szCs w:val="22"/>
          <w:lang w:val="en-GB"/>
        </w:rPr>
        <w:t xml:space="preserve">2 infection: recommendations of the Polish Association of Epidemiologists and Infectiologists. Annex no. 2 as of October 13, 2020. </w:t>
      </w:r>
      <w:r w:rsidRPr="0054347C">
        <w:rPr>
          <w:sz w:val="22"/>
          <w:szCs w:val="22"/>
          <w:lang w:val="en-US"/>
        </w:rPr>
        <w:t>Pol Arch Intern Med. 2020; 130: 915-918. doi:10.20452/pamw.15658</w:t>
      </w:r>
    </w:p>
    <w:p w14:paraId="5C7AD5A4" w14:textId="3640C1D5" w:rsidR="000F0DBE" w:rsidRPr="0054347C" w:rsidRDefault="000F0DBE" w:rsidP="000F0DBE">
      <w:pPr>
        <w:jc w:val="both"/>
        <w:rPr>
          <w:lang w:val="en-US"/>
        </w:rPr>
      </w:pPr>
    </w:p>
    <w:p w14:paraId="6D58DE8B" w14:textId="055E765B" w:rsidR="000F0DBE" w:rsidRPr="0054347C" w:rsidRDefault="000F0DBE" w:rsidP="000F0DBE">
      <w:pPr>
        <w:jc w:val="both"/>
        <w:rPr>
          <w:lang w:val="en-US"/>
        </w:rPr>
      </w:pPr>
    </w:p>
    <w:p w14:paraId="13EF3E47" w14:textId="3397C666" w:rsidR="000F0DBE" w:rsidRPr="0054347C" w:rsidRDefault="0054347C" w:rsidP="000F0DBE">
      <w:pPr>
        <w:jc w:val="both"/>
      </w:pPr>
      <w:r w:rsidRPr="0054347C">
        <w:t>Autorzy stanowiska:</w:t>
      </w:r>
    </w:p>
    <w:p w14:paraId="7566B739" w14:textId="6B27EEB9" w:rsidR="000F0DBE" w:rsidRPr="0054347C" w:rsidRDefault="0054347C" w:rsidP="000F0DBE">
      <w:pPr>
        <w:jc w:val="both"/>
      </w:pPr>
      <w:r>
        <w:t>K</w:t>
      </w:r>
      <w:r w:rsidR="00414728" w:rsidRPr="0054347C">
        <w:t>onsultant krajowy w dziedzinie medycyny rodzinnej - d</w:t>
      </w:r>
      <w:r w:rsidR="000F0DBE" w:rsidRPr="0054347C">
        <w:t>r hab. Agnieszka Mastalerz-Migas</w:t>
      </w:r>
    </w:p>
    <w:p w14:paraId="7B40F445" w14:textId="33D8C6A8" w:rsidR="00414728" w:rsidRPr="0054347C" w:rsidRDefault="0054347C" w:rsidP="000F0DBE">
      <w:pPr>
        <w:jc w:val="both"/>
        <w:rPr>
          <w:lang w:val="en-US"/>
        </w:rPr>
      </w:pPr>
      <w:r>
        <w:t>K</w:t>
      </w:r>
      <w:r w:rsidR="00414728" w:rsidRPr="0054347C">
        <w:t>onsultant krajowy w dziedzinie chorób zakaźnych</w:t>
      </w:r>
      <w:r w:rsidR="00F85B72">
        <w:t xml:space="preserve"> -</w:t>
      </w:r>
      <w:r w:rsidR="00414728" w:rsidRPr="0054347C">
        <w:t xml:space="preserve"> p</w:t>
      </w:r>
      <w:r w:rsidR="00E3686E" w:rsidRPr="0054347C">
        <w:t xml:space="preserve">rof. dr hab. </w:t>
      </w:r>
      <w:r w:rsidR="00E3686E" w:rsidRPr="0054347C">
        <w:rPr>
          <w:lang w:val="en-US"/>
        </w:rPr>
        <w:t xml:space="preserve">Andrzej Horban </w:t>
      </w:r>
    </w:p>
    <w:p w14:paraId="1CEBAE65" w14:textId="51511EC4" w:rsidR="000F0DBE" w:rsidRPr="0054347C" w:rsidRDefault="0054347C" w:rsidP="000F0DBE">
      <w:pPr>
        <w:jc w:val="both"/>
      </w:pPr>
      <w:r>
        <w:t>K</w:t>
      </w:r>
      <w:r w:rsidR="000F0DBE" w:rsidRPr="0054347C">
        <w:t>onsultant krajowy w dziedzinie anestezjologii i intensywnej terapii</w:t>
      </w:r>
      <w:r w:rsidR="00414728" w:rsidRPr="0054347C">
        <w:t xml:space="preserve"> - </w:t>
      </w:r>
      <w:r>
        <w:t>p</w:t>
      </w:r>
      <w:r w:rsidR="00414728" w:rsidRPr="0054347C">
        <w:t xml:space="preserve">rof. dr hab. Radosław </w:t>
      </w:r>
      <w:proofErr w:type="spellStart"/>
      <w:r w:rsidR="00414728" w:rsidRPr="0054347C">
        <w:t>Owczuk</w:t>
      </w:r>
      <w:proofErr w:type="spellEnd"/>
      <w:r w:rsidR="00414728" w:rsidRPr="0054347C">
        <w:t xml:space="preserve"> </w:t>
      </w:r>
    </w:p>
    <w:p w14:paraId="1B7CF629" w14:textId="5D3E8C31" w:rsidR="000F0DBE" w:rsidRPr="0054347C" w:rsidRDefault="00E3686E" w:rsidP="000F0DBE">
      <w:pPr>
        <w:jc w:val="both"/>
      </w:pPr>
      <w:r w:rsidRPr="0054347C">
        <w:t>Członkowie Rady Medycznej:</w:t>
      </w:r>
    </w:p>
    <w:p w14:paraId="43952BE9" w14:textId="0DC1337E" w:rsidR="00414728" w:rsidRPr="0054347C" w:rsidRDefault="00414728" w:rsidP="000F0DBE">
      <w:pPr>
        <w:jc w:val="both"/>
      </w:pPr>
      <w:r w:rsidRPr="0054347C">
        <w:t>Wyżej wymienieni oraz:</w:t>
      </w:r>
    </w:p>
    <w:p w14:paraId="20861F8C" w14:textId="77777777" w:rsidR="0054347C" w:rsidRPr="0054347C" w:rsidRDefault="0054347C" w:rsidP="0054347C">
      <w:pPr>
        <w:jc w:val="both"/>
      </w:pPr>
      <w:r w:rsidRPr="0054347C">
        <w:t xml:space="preserve">Prof. dr hab. Piotr </w:t>
      </w:r>
      <w:proofErr w:type="spellStart"/>
      <w:r w:rsidRPr="0054347C">
        <w:t>Czauderna</w:t>
      </w:r>
      <w:proofErr w:type="spellEnd"/>
    </w:p>
    <w:p w14:paraId="47A75D61" w14:textId="77777777" w:rsidR="0054347C" w:rsidRPr="0054347C" w:rsidRDefault="0054347C" w:rsidP="0054347C">
      <w:pPr>
        <w:jc w:val="both"/>
        <w:rPr>
          <w:lang w:val="en-US"/>
        </w:rPr>
      </w:pPr>
      <w:r w:rsidRPr="0054347C">
        <w:rPr>
          <w:lang w:val="en-US"/>
        </w:rPr>
        <w:t>Prof. dr hab. Robert Flisiak</w:t>
      </w:r>
    </w:p>
    <w:p w14:paraId="680D4608" w14:textId="77777777" w:rsidR="0054347C" w:rsidRPr="0054347C" w:rsidRDefault="0054347C" w:rsidP="0054347C">
      <w:pPr>
        <w:jc w:val="both"/>
      </w:pPr>
      <w:r w:rsidRPr="0054347C">
        <w:t>Prof. dr hab. Tomasz Laskus</w:t>
      </w:r>
    </w:p>
    <w:p w14:paraId="4DE5EE49" w14:textId="77777777" w:rsidR="0054347C" w:rsidRPr="0054347C" w:rsidRDefault="0054347C" w:rsidP="0054347C">
      <w:pPr>
        <w:jc w:val="both"/>
      </w:pPr>
      <w:r w:rsidRPr="0054347C">
        <w:t>Prof. dr hab. Bartosz Łoza</w:t>
      </w:r>
    </w:p>
    <w:p w14:paraId="2D2AF365" w14:textId="77777777" w:rsidR="0054347C" w:rsidRPr="0054347C" w:rsidRDefault="0054347C" w:rsidP="0054347C">
      <w:pPr>
        <w:jc w:val="both"/>
      </w:pPr>
      <w:r w:rsidRPr="0054347C">
        <w:t>Prof. dr hab. Magdalena Marczyńska</w:t>
      </w:r>
    </w:p>
    <w:p w14:paraId="2AE99060" w14:textId="77777777" w:rsidR="0054347C" w:rsidRPr="0054347C" w:rsidRDefault="0054347C" w:rsidP="0054347C">
      <w:pPr>
        <w:jc w:val="both"/>
      </w:pPr>
      <w:r w:rsidRPr="0054347C">
        <w:t>Dr hab. Iwona Paradowska-Stankiewicz</w:t>
      </w:r>
    </w:p>
    <w:p w14:paraId="10312C0A" w14:textId="32A5D191" w:rsidR="0054347C" w:rsidRPr="0054347C" w:rsidRDefault="0054347C" w:rsidP="0054347C">
      <w:pPr>
        <w:jc w:val="both"/>
      </w:pPr>
      <w:r w:rsidRPr="0054347C">
        <w:t>Prof. dr hab. Miłosz Parczewski</w:t>
      </w:r>
    </w:p>
    <w:p w14:paraId="3766305F" w14:textId="77777777" w:rsidR="0054347C" w:rsidRPr="0054347C" w:rsidRDefault="0054347C" w:rsidP="0054347C">
      <w:pPr>
        <w:jc w:val="both"/>
      </w:pPr>
      <w:r w:rsidRPr="0054347C">
        <w:t>Prof. dr hab. Małgorzata Pawłowska</w:t>
      </w:r>
    </w:p>
    <w:p w14:paraId="568C20D6" w14:textId="77777777" w:rsidR="0054347C" w:rsidRPr="0054347C" w:rsidRDefault="0054347C" w:rsidP="0054347C">
      <w:pPr>
        <w:jc w:val="both"/>
      </w:pPr>
      <w:r w:rsidRPr="0054347C">
        <w:t>Prof. dr hab. Anna Piekarska</w:t>
      </w:r>
    </w:p>
    <w:p w14:paraId="1C2CDEF3" w14:textId="77777777" w:rsidR="0054347C" w:rsidRPr="0054347C" w:rsidRDefault="0054347C" w:rsidP="0054347C">
      <w:pPr>
        <w:jc w:val="both"/>
      </w:pPr>
      <w:r w:rsidRPr="0054347C">
        <w:t xml:space="preserve">Prof. dr hab. Krzysztof </w:t>
      </w:r>
      <w:proofErr w:type="spellStart"/>
      <w:r w:rsidRPr="0054347C">
        <w:t>Pyrć</w:t>
      </w:r>
      <w:proofErr w:type="spellEnd"/>
    </w:p>
    <w:p w14:paraId="2FE2377F" w14:textId="77777777" w:rsidR="0054347C" w:rsidRPr="0054347C" w:rsidRDefault="0054347C" w:rsidP="0054347C">
      <w:pPr>
        <w:jc w:val="both"/>
        <w:rPr>
          <w:lang w:val="en-US"/>
        </w:rPr>
      </w:pPr>
      <w:r w:rsidRPr="0054347C">
        <w:rPr>
          <w:lang w:val="en-US"/>
        </w:rPr>
        <w:t>Prof. dr hab. Krzysztof Simon</w:t>
      </w:r>
    </w:p>
    <w:p w14:paraId="7455E389" w14:textId="676142E9" w:rsidR="00414728" w:rsidRPr="0054347C" w:rsidRDefault="00414728" w:rsidP="000F0DBE">
      <w:pPr>
        <w:jc w:val="both"/>
      </w:pPr>
      <w:r w:rsidRPr="0054347C">
        <w:t xml:space="preserve">Dr n. med. Konstanty </w:t>
      </w:r>
      <w:proofErr w:type="spellStart"/>
      <w:r w:rsidRPr="0054347C">
        <w:t>Szułdrzyński</w:t>
      </w:r>
      <w:proofErr w:type="spellEnd"/>
    </w:p>
    <w:p w14:paraId="037A6298" w14:textId="77777777" w:rsidR="0054347C" w:rsidRPr="0054347C" w:rsidRDefault="0054347C" w:rsidP="0054347C">
      <w:pPr>
        <w:jc w:val="both"/>
      </w:pPr>
      <w:r w:rsidRPr="0054347C">
        <w:t>Prof. dr hab. Krzysztof Tomasiewicz</w:t>
      </w:r>
    </w:p>
    <w:p w14:paraId="25A5F327" w14:textId="77777777" w:rsidR="0054347C" w:rsidRPr="0054347C" w:rsidRDefault="0054347C" w:rsidP="0054347C">
      <w:pPr>
        <w:jc w:val="both"/>
      </w:pPr>
      <w:r w:rsidRPr="0054347C">
        <w:t>Prof. dr hab. Jacek Wysocki</w:t>
      </w:r>
    </w:p>
    <w:p w14:paraId="4165FBF0" w14:textId="53875D62" w:rsidR="00E3686E" w:rsidRPr="0054347C" w:rsidRDefault="00E3686E" w:rsidP="000F0DBE">
      <w:pPr>
        <w:jc w:val="both"/>
      </w:pPr>
      <w:r w:rsidRPr="0054347C">
        <w:t>Dr n. med. Artur Zaczyński</w:t>
      </w:r>
    </w:p>
    <w:p w14:paraId="6817A67F" w14:textId="77777777" w:rsidR="000F0DBE" w:rsidRPr="0054347C" w:rsidRDefault="000F0DBE" w:rsidP="000F0DBE">
      <w:pPr>
        <w:jc w:val="both"/>
      </w:pPr>
    </w:p>
    <w:sectPr w:rsidR="000F0DBE" w:rsidRPr="0054347C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93F6" w14:textId="77777777" w:rsidR="00495D5E" w:rsidRDefault="00495D5E" w:rsidP="00F86C00">
      <w:r>
        <w:separator/>
      </w:r>
    </w:p>
  </w:endnote>
  <w:endnote w:type="continuationSeparator" w:id="0">
    <w:p w14:paraId="14E953DD" w14:textId="77777777" w:rsidR="00495D5E" w:rsidRDefault="00495D5E" w:rsidP="00F8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20000287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0546561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65CC52" w14:textId="3D48D874" w:rsidR="00F86C00" w:rsidRDefault="00F86C00" w:rsidP="00FB29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46B2B38" w14:textId="77777777" w:rsidR="00F86C00" w:rsidRDefault="00F86C00" w:rsidP="00F86C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144158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1FEA54" w14:textId="58D9C666" w:rsidR="00F86C00" w:rsidRDefault="00F86C00" w:rsidP="00FB29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D508A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2508292A" w14:textId="77777777" w:rsidR="00F86C00" w:rsidRDefault="00F86C00" w:rsidP="00F86C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50104" w14:textId="77777777" w:rsidR="00495D5E" w:rsidRDefault="00495D5E" w:rsidP="00F86C00">
      <w:r>
        <w:separator/>
      </w:r>
    </w:p>
  </w:footnote>
  <w:footnote w:type="continuationSeparator" w:id="0">
    <w:p w14:paraId="2829D2A6" w14:textId="77777777" w:rsidR="00495D5E" w:rsidRDefault="00495D5E" w:rsidP="00F8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533"/>
    <w:multiLevelType w:val="hybridMultilevel"/>
    <w:tmpl w:val="03EA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E8A"/>
    <w:multiLevelType w:val="hybridMultilevel"/>
    <w:tmpl w:val="20A011BE"/>
    <w:lvl w:ilvl="0" w:tplc="13029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797A"/>
    <w:multiLevelType w:val="hybridMultilevel"/>
    <w:tmpl w:val="12FEE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217AC"/>
    <w:multiLevelType w:val="hybridMultilevel"/>
    <w:tmpl w:val="C4BAC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DD0C2F"/>
    <w:multiLevelType w:val="hybridMultilevel"/>
    <w:tmpl w:val="106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62B4"/>
    <w:multiLevelType w:val="hybridMultilevel"/>
    <w:tmpl w:val="D5968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EE"/>
    <w:rsid w:val="00016209"/>
    <w:rsid w:val="000F0DBE"/>
    <w:rsid w:val="00186632"/>
    <w:rsid w:val="001A1F00"/>
    <w:rsid w:val="001D3280"/>
    <w:rsid w:val="0020204D"/>
    <w:rsid w:val="00203B44"/>
    <w:rsid w:val="00354CF2"/>
    <w:rsid w:val="00373F2E"/>
    <w:rsid w:val="003C35A9"/>
    <w:rsid w:val="00414728"/>
    <w:rsid w:val="00465E40"/>
    <w:rsid w:val="004912EE"/>
    <w:rsid w:val="00495D5E"/>
    <w:rsid w:val="004D508A"/>
    <w:rsid w:val="004E6C44"/>
    <w:rsid w:val="0054347C"/>
    <w:rsid w:val="00546CD0"/>
    <w:rsid w:val="00663160"/>
    <w:rsid w:val="006821DF"/>
    <w:rsid w:val="00794EC7"/>
    <w:rsid w:val="008331C5"/>
    <w:rsid w:val="008B7F27"/>
    <w:rsid w:val="008C1607"/>
    <w:rsid w:val="00A22476"/>
    <w:rsid w:val="00A53DF0"/>
    <w:rsid w:val="00AB6655"/>
    <w:rsid w:val="00BC2A38"/>
    <w:rsid w:val="00C53C67"/>
    <w:rsid w:val="00CA1380"/>
    <w:rsid w:val="00D1411E"/>
    <w:rsid w:val="00D82F90"/>
    <w:rsid w:val="00E3686E"/>
    <w:rsid w:val="00E60673"/>
    <w:rsid w:val="00E70D99"/>
    <w:rsid w:val="00F20F83"/>
    <w:rsid w:val="00F47E2D"/>
    <w:rsid w:val="00F57567"/>
    <w:rsid w:val="00F85B72"/>
    <w:rsid w:val="00F86C00"/>
    <w:rsid w:val="00F9520F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027"/>
  <w15:chartTrackingRefBased/>
  <w15:docId w15:val="{06B8E482-E9F8-6D43-A605-485366D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09"/>
  </w:style>
  <w:style w:type="paragraph" w:styleId="Nagwek1">
    <w:name w:val="heading 1"/>
    <w:basedOn w:val="Normalny"/>
    <w:link w:val="Nagwek1Znak"/>
    <w:uiPriority w:val="9"/>
    <w:qFormat/>
    <w:rsid w:val="00203B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2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2E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620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03B44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86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C00"/>
  </w:style>
  <w:style w:type="character" w:styleId="Numerstrony">
    <w:name w:val="page number"/>
    <w:basedOn w:val="Domylnaczcionkaakapitu"/>
    <w:uiPriority w:val="99"/>
    <w:semiHidden/>
    <w:unhideWhenUsed/>
    <w:rsid w:val="00F86C00"/>
  </w:style>
  <w:style w:type="paragraph" w:styleId="Tekstdymka">
    <w:name w:val="Balloon Text"/>
    <w:basedOn w:val="Normalny"/>
    <w:link w:val="TekstdymkaZnak"/>
    <w:uiPriority w:val="99"/>
    <w:semiHidden/>
    <w:unhideWhenUsed/>
    <w:rsid w:val="00A53D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F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F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tm.gov.pl/media/2020/12/Farmakoterapia-COVID-19-Aktualizacja-wersja-2.0-27-listopada-2020-r._new_aktualna.pdf" TargetMode="External"/><Relationship Id="rId13" Type="http://schemas.openxmlformats.org/officeDocument/2006/relationships/hyperlink" Target="https://www.thelancet.com/journals/landia/article/PIIS2213-8587(20)30380-6/full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domowaopiekamedyczna" TargetMode="External"/><Relationship Id="rId12" Type="http://schemas.openxmlformats.org/officeDocument/2006/relationships/hyperlink" Target="http://mavipuro.pl/jourarch/PN201800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todate.com/contents/coronavirus-disease-2019-covid-19-outpatient-evaluation-and-management-in-adul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vid19treatmentguidelines.nih.gov/therapeutic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otm.gov.pl/media/2020/12/Farmakoterapia-COVID-19-Aktualizacja-wersja-2.0-27-listopada-2020-r._new_aktualn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Konstanty Szułdrzyński</dc:creator>
  <cp:keywords/>
  <dc:description/>
  <cp:lastModifiedBy>Izba Pielęgniarska</cp:lastModifiedBy>
  <cp:revision>2</cp:revision>
  <dcterms:created xsi:type="dcterms:W3CDTF">2021-02-03T13:15:00Z</dcterms:created>
  <dcterms:modified xsi:type="dcterms:W3CDTF">2021-02-03T13:15:00Z</dcterms:modified>
</cp:coreProperties>
</file>